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51"/>
        <w:gridCol w:w="4523"/>
        <w:gridCol w:w="786"/>
        <w:gridCol w:w="4332"/>
      </w:tblGrid>
      <w:tr w:rsidR="00767BDB" w:rsidRPr="00AF43B5" w:rsidTr="00CB369F">
        <w:tc>
          <w:tcPr>
            <w:tcW w:w="10492" w:type="dxa"/>
            <w:gridSpan w:val="4"/>
            <w:tcBorders>
              <w:top w:val="nil"/>
              <w:left w:val="nil"/>
              <w:bottom w:val="nil"/>
              <w:right w:val="nil"/>
            </w:tcBorders>
            <w:shd w:val="clear" w:color="auto" w:fill="0076A3"/>
          </w:tcPr>
          <w:p w:rsidR="00767BDB" w:rsidRPr="00AF43B5" w:rsidRDefault="00E45AB9" w:rsidP="0017317F">
            <w:pPr>
              <w:spacing w:before="120" w:after="120"/>
              <w:rPr>
                <w:rFonts w:ascii="Verdana" w:hAnsi="Verdana"/>
                <w:b/>
                <w:color w:val="FFFFFF" w:themeColor="background1"/>
                <w:sz w:val="48"/>
              </w:rPr>
            </w:pPr>
            <w:bookmarkStart w:id="0" w:name="_GoBack"/>
            <w:bookmarkEnd w:id="0"/>
            <w:r w:rsidRPr="00AF43B5">
              <w:rPr>
                <w:noProof/>
                <w:sz w:val="20"/>
                <w:lang w:val="en-US"/>
              </w:rPr>
              <w:drawing>
                <wp:anchor distT="0" distB="0" distL="114300" distR="114300" simplePos="0" relativeHeight="251659264" behindDoc="0" locked="0" layoutInCell="1" allowOverlap="1" wp14:anchorId="17220102" wp14:editId="0E8D6A65">
                  <wp:simplePos x="0" y="0"/>
                  <wp:positionH relativeFrom="column">
                    <wp:posOffset>5417820</wp:posOffset>
                  </wp:positionH>
                  <wp:positionV relativeFrom="paragraph">
                    <wp:posOffset>47625</wp:posOffset>
                  </wp:positionV>
                  <wp:extent cx="1114425" cy="733425"/>
                  <wp:effectExtent l="0" t="0" r="9525" b="0"/>
                  <wp:wrapNone/>
                  <wp:docPr id="12" name="Picture 12" descr="https://pbs.twimg.com/profile_images/870345264694951937/hEb7_3UC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870345264694951937/hEb7_3UC_400x400.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10000" b="90000" l="4000" r="96500">
                                        <a14:foregroundMark x1="92750" y1="33500" x2="92750" y2="33500"/>
                                        <a14:foregroundMark x1="96500" y1="33500" x2="96500" y2="33500"/>
                                        <a14:foregroundMark x1="8250" y1="63250" x2="8250" y2="63250"/>
                                        <a14:foregroundMark x1="4000" y1="67250" x2="4000" y2="67250"/>
                                      </a14:backgroundRemoval>
                                    </a14:imgEffect>
                                  </a14:imgLayer>
                                </a14:imgProps>
                              </a:ext>
                              <a:ext uri="{28A0092B-C50C-407E-A947-70E740481C1C}">
                                <a14:useLocalDpi xmlns:a14="http://schemas.microsoft.com/office/drawing/2010/main" val="0"/>
                              </a:ext>
                            </a:extLst>
                          </a:blip>
                          <a:srcRect t="18804" b="15384"/>
                          <a:stretch/>
                        </pic:blipFill>
                        <pic:spPr bwMode="auto">
                          <a:xfrm>
                            <a:off x="0" y="0"/>
                            <a:ext cx="111442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BDB" w:rsidRPr="00AF43B5">
              <w:rPr>
                <w:rFonts w:ascii="Verdana" w:hAnsi="Verdana"/>
                <w:b/>
                <w:color w:val="FFFFFF" w:themeColor="background1"/>
                <w:sz w:val="48"/>
              </w:rPr>
              <w:t>AXIS Insurance</w:t>
            </w:r>
            <w:r w:rsidR="00767BDB" w:rsidRPr="00AF43B5">
              <w:rPr>
                <w:noProof/>
                <w:sz w:val="20"/>
              </w:rPr>
              <w:t xml:space="preserve"> </w:t>
            </w:r>
          </w:p>
          <w:p w:rsidR="00B8587A" w:rsidRPr="00AF43B5" w:rsidRDefault="00767BDB" w:rsidP="0017317F">
            <w:pPr>
              <w:spacing w:after="240"/>
              <w:rPr>
                <w:rFonts w:ascii="Verdana" w:hAnsi="Verdana"/>
                <w:b/>
                <w:color w:val="FFFFFF" w:themeColor="background1"/>
              </w:rPr>
            </w:pPr>
            <w:r w:rsidRPr="00AF43B5">
              <w:rPr>
                <w:rFonts w:ascii="Verdana" w:hAnsi="Verdana"/>
                <w:b/>
                <w:color w:val="FFFFFF" w:themeColor="background1"/>
              </w:rPr>
              <w:t>Insurance Product Information Document</w:t>
            </w:r>
          </w:p>
        </w:tc>
      </w:tr>
      <w:tr w:rsidR="00FD6313" w:rsidRPr="00AF43B5" w:rsidTr="00D62593">
        <w:trPr>
          <w:trHeight w:val="367"/>
        </w:trPr>
        <w:tc>
          <w:tcPr>
            <w:tcW w:w="5374" w:type="dxa"/>
            <w:gridSpan w:val="2"/>
            <w:tcBorders>
              <w:top w:val="nil"/>
              <w:left w:val="nil"/>
              <w:bottom w:val="nil"/>
              <w:right w:val="nil"/>
            </w:tcBorders>
            <w:shd w:val="clear" w:color="auto" w:fill="0076A3"/>
          </w:tcPr>
          <w:p w:rsidR="00FD6313" w:rsidRPr="00AF43B5" w:rsidRDefault="00FD6313" w:rsidP="00686B69">
            <w:pPr>
              <w:rPr>
                <w:rFonts w:ascii="Verdana" w:hAnsi="Verdana"/>
                <w:b/>
                <w:color w:val="FFFFFF" w:themeColor="background1"/>
                <w:sz w:val="18"/>
              </w:rPr>
            </w:pPr>
            <w:r w:rsidRPr="00AF43B5">
              <w:rPr>
                <w:rFonts w:ascii="Verdana" w:hAnsi="Verdana"/>
                <w:b/>
                <w:color w:val="FFFFFF" w:themeColor="background1"/>
                <w:sz w:val="18"/>
              </w:rPr>
              <w:t xml:space="preserve">Company: </w:t>
            </w:r>
            <w:r>
              <w:rPr>
                <w:rFonts w:ascii="Verdana" w:hAnsi="Verdana"/>
                <w:b/>
                <w:color w:val="FFFFFF" w:themeColor="background1"/>
                <w:sz w:val="18"/>
              </w:rPr>
              <w:t>Axis Specialty Europe</w:t>
            </w:r>
            <w:r w:rsidRPr="00AF43B5">
              <w:rPr>
                <w:rFonts w:ascii="Verdana" w:hAnsi="Verdana"/>
                <w:b/>
                <w:color w:val="FFFFFF" w:themeColor="background1"/>
                <w:sz w:val="18"/>
              </w:rPr>
              <w:t xml:space="preserve"> </w:t>
            </w:r>
            <w:r>
              <w:rPr>
                <w:rFonts w:ascii="Verdana" w:hAnsi="Verdana"/>
                <w:b/>
                <w:color w:val="FFFFFF" w:themeColor="background1"/>
                <w:sz w:val="18"/>
              </w:rPr>
              <w:t>SE and AXIS Managing Agency Ltd</w:t>
            </w:r>
          </w:p>
        </w:tc>
        <w:tc>
          <w:tcPr>
            <w:tcW w:w="5118" w:type="dxa"/>
            <w:gridSpan w:val="2"/>
            <w:tcBorders>
              <w:top w:val="nil"/>
              <w:left w:val="nil"/>
              <w:bottom w:val="nil"/>
              <w:right w:val="nil"/>
            </w:tcBorders>
            <w:shd w:val="clear" w:color="auto" w:fill="0076A3"/>
          </w:tcPr>
          <w:p w:rsidR="00FD6313" w:rsidRPr="00AF43B5" w:rsidRDefault="00FD6313" w:rsidP="00D303CF">
            <w:pPr>
              <w:rPr>
                <w:rFonts w:ascii="Verdana" w:hAnsi="Verdana"/>
                <w:color w:val="FFFFFF" w:themeColor="background1"/>
                <w:sz w:val="18"/>
              </w:rPr>
            </w:pPr>
            <w:r>
              <w:rPr>
                <w:rFonts w:ascii="Verdana" w:hAnsi="Verdana"/>
                <w:b/>
                <w:color w:val="FFFFFF" w:themeColor="background1"/>
                <w:sz w:val="18"/>
              </w:rPr>
              <w:t xml:space="preserve">Product: AXIS Individual Defence </w:t>
            </w:r>
          </w:p>
        </w:tc>
      </w:tr>
      <w:tr w:rsidR="00FD6313" w:rsidRPr="00AF43B5" w:rsidTr="00C30AD2">
        <w:trPr>
          <w:trHeight w:val="367"/>
        </w:trPr>
        <w:tc>
          <w:tcPr>
            <w:tcW w:w="10492" w:type="dxa"/>
            <w:gridSpan w:val="4"/>
            <w:tcBorders>
              <w:top w:val="nil"/>
              <w:left w:val="nil"/>
              <w:bottom w:val="nil"/>
              <w:right w:val="nil"/>
            </w:tcBorders>
            <w:shd w:val="clear" w:color="auto" w:fill="0076A3"/>
          </w:tcPr>
          <w:p w:rsidR="00FD6313" w:rsidRDefault="00FD6313" w:rsidP="00686B69">
            <w:pPr>
              <w:rPr>
                <w:rFonts w:ascii="Verdana" w:hAnsi="Verdana"/>
                <w:b/>
                <w:color w:val="FFFFFF" w:themeColor="background1"/>
                <w:sz w:val="18"/>
              </w:rPr>
            </w:pPr>
            <w:r w:rsidRPr="00557801">
              <w:rPr>
                <w:rFonts w:ascii="Verdana" w:hAnsi="Verdana"/>
                <w:b/>
                <w:color w:val="FFFFFF" w:themeColor="background1"/>
                <w:sz w:val="18"/>
              </w:rPr>
              <w:t>AXIS Specialty Europe SE (ASE) is registered in Ireland and authorised in the EEA. ASE is regulated by the Central Bank of Ireland and subject to limited regulation by the Financial Conduct Authority (Firm Reference Number 212724</w:t>
            </w:r>
            <w:r>
              <w:rPr>
                <w:rFonts w:ascii="Verdana" w:hAnsi="Verdana"/>
                <w:b/>
                <w:color w:val="FFFFFF" w:themeColor="background1"/>
                <w:sz w:val="18"/>
              </w:rPr>
              <w:t xml:space="preserve">. </w:t>
            </w:r>
            <w:r w:rsidRPr="00FB41AB">
              <w:rPr>
                <w:rFonts w:ascii="Verdana" w:hAnsi="Verdana"/>
                <w:b/>
                <w:color w:val="FFFFFF" w:themeColor="background1"/>
                <w:sz w:val="18"/>
              </w:rPr>
              <w:t xml:space="preserve">AXIS </w:t>
            </w:r>
            <w:r>
              <w:rPr>
                <w:rFonts w:ascii="Verdana" w:hAnsi="Verdana"/>
                <w:b/>
                <w:color w:val="FFFFFF" w:themeColor="background1"/>
                <w:sz w:val="18"/>
              </w:rPr>
              <w:t xml:space="preserve">Managing Agency Ltd </w:t>
            </w:r>
            <w:r w:rsidRPr="00FB41AB">
              <w:rPr>
                <w:rFonts w:ascii="Verdana" w:hAnsi="Verdana"/>
                <w:b/>
                <w:color w:val="FFFFFF" w:themeColor="background1"/>
                <w:sz w:val="18"/>
              </w:rPr>
              <w:t xml:space="preserve">is registered in the UK. </w:t>
            </w:r>
            <w:r>
              <w:rPr>
                <w:rFonts w:ascii="Verdana" w:hAnsi="Verdana"/>
                <w:b/>
                <w:color w:val="FFFFFF" w:themeColor="background1"/>
                <w:sz w:val="18"/>
              </w:rPr>
              <w:t>They are</w:t>
            </w:r>
            <w:r w:rsidRPr="00FB41AB">
              <w:rPr>
                <w:rFonts w:ascii="Verdana" w:hAnsi="Verdana"/>
                <w:b/>
                <w:color w:val="FFFFFF" w:themeColor="background1"/>
                <w:sz w:val="18"/>
              </w:rPr>
              <w:t xml:space="preserve"> authorised by the Financial Conduct Authority </w:t>
            </w:r>
            <w:r>
              <w:rPr>
                <w:rFonts w:ascii="Verdana" w:hAnsi="Verdana"/>
                <w:b/>
                <w:color w:val="FFFFFF" w:themeColor="background1"/>
                <w:sz w:val="18"/>
              </w:rPr>
              <w:t xml:space="preserve">for conduct of business rules </w:t>
            </w:r>
            <w:r w:rsidRPr="00FB41AB">
              <w:rPr>
                <w:rFonts w:ascii="Verdana" w:hAnsi="Verdana"/>
                <w:b/>
                <w:color w:val="FFFFFF" w:themeColor="background1"/>
                <w:sz w:val="18"/>
              </w:rPr>
              <w:t xml:space="preserve">(Firm Reference Number </w:t>
            </w:r>
            <w:r>
              <w:rPr>
                <w:rFonts w:ascii="Verdana" w:hAnsi="Verdana"/>
                <w:b/>
                <w:color w:val="FFFFFF" w:themeColor="background1"/>
                <w:sz w:val="18"/>
              </w:rPr>
              <w:t>212724</w:t>
            </w:r>
            <w:r w:rsidRPr="00FB41AB">
              <w:rPr>
                <w:rFonts w:ascii="Verdana" w:hAnsi="Verdana"/>
                <w:b/>
                <w:color w:val="FFFFFF" w:themeColor="background1"/>
                <w:sz w:val="18"/>
              </w:rPr>
              <w:t>)</w:t>
            </w:r>
            <w:r>
              <w:rPr>
                <w:rFonts w:ascii="Verdana" w:hAnsi="Verdana"/>
                <w:b/>
                <w:color w:val="FFFFFF" w:themeColor="background1"/>
                <w:sz w:val="18"/>
              </w:rPr>
              <w:t>)</w:t>
            </w:r>
          </w:p>
        </w:tc>
      </w:tr>
      <w:tr w:rsidR="00767BDB" w:rsidRPr="00AF43B5" w:rsidTr="00E43726">
        <w:trPr>
          <w:trHeight w:val="710"/>
        </w:trPr>
        <w:tc>
          <w:tcPr>
            <w:tcW w:w="10492" w:type="dxa"/>
            <w:gridSpan w:val="4"/>
            <w:tcBorders>
              <w:top w:val="nil"/>
            </w:tcBorders>
            <w:tcMar>
              <w:top w:w="113" w:type="dxa"/>
            </w:tcMar>
          </w:tcPr>
          <w:p w:rsidR="00767BDB" w:rsidRPr="00286A78" w:rsidRDefault="00E44EED" w:rsidP="00673865">
            <w:pPr>
              <w:jc w:val="both"/>
              <w:rPr>
                <w:sz w:val="18"/>
                <w:szCs w:val="18"/>
              </w:rPr>
            </w:pPr>
            <w:r w:rsidRPr="00286A78">
              <w:rPr>
                <w:sz w:val="18"/>
                <w:szCs w:val="18"/>
              </w:rPr>
              <w:t>This document is a summary of insurance coverages and restrictions found in the policy.  It is not personali</w:t>
            </w:r>
            <w:r w:rsidR="000F14A8" w:rsidRPr="00286A78">
              <w:rPr>
                <w:sz w:val="18"/>
                <w:szCs w:val="18"/>
              </w:rPr>
              <w:t>s</w:t>
            </w:r>
            <w:r w:rsidRPr="00286A78">
              <w:rPr>
                <w:sz w:val="18"/>
                <w:szCs w:val="18"/>
              </w:rPr>
              <w:t>ed to your individual selections.  It is not a complete representation of all the provisions of your policy.  Please refer to your policy documentation, including the Schedule, for full details of the coverage you have been provided</w:t>
            </w:r>
            <w:r w:rsidR="004752C2" w:rsidRPr="00286A78">
              <w:rPr>
                <w:sz w:val="18"/>
                <w:szCs w:val="18"/>
              </w:rPr>
              <w:t>, the sums insured</w:t>
            </w:r>
            <w:r w:rsidRPr="00286A78">
              <w:rPr>
                <w:sz w:val="18"/>
                <w:szCs w:val="18"/>
              </w:rPr>
              <w:t xml:space="preserve"> and the terms and conditions of that coverage.  </w:t>
            </w:r>
          </w:p>
        </w:tc>
      </w:tr>
      <w:tr w:rsidR="00767BDB" w:rsidRPr="00AF43B5" w:rsidTr="00E43726">
        <w:trPr>
          <w:trHeight w:val="1132"/>
        </w:trPr>
        <w:tc>
          <w:tcPr>
            <w:tcW w:w="10492" w:type="dxa"/>
            <w:gridSpan w:val="4"/>
            <w:tcMar>
              <w:top w:w="113" w:type="dxa"/>
            </w:tcMar>
          </w:tcPr>
          <w:p w:rsidR="00767BDB" w:rsidRPr="00286A78" w:rsidRDefault="00767BDB">
            <w:pPr>
              <w:rPr>
                <w:b/>
                <w:sz w:val="18"/>
                <w:szCs w:val="18"/>
              </w:rPr>
            </w:pPr>
            <w:r w:rsidRPr="00286A78">
              <w:rPr>
                <w:b/>
                <w:sz w:val="18"/>
                <w:szCs w:val="18"/>
              </w:rPr>
              <w:t>What is this type of insurance?</w:t>
            </w:r>
          </w:p>
          <w:p w:rsidR="00D303CF" w:rsidRPr="00286A78" w:rsidRDefault="00D303CF" w:rsidP="00D303CF">
            <w:pPr>
              <w:rPr>
                <w:sz w:val="18"/>
                <w:szCs w:val="18"/>
              </w:rPr>
            </w:pPr>
            <w:r w:rsidRPr="00286A78">
              <w:rPr>
                <w:sz w:val="18"/>
                <w:szCs w:val="18"/>
              </w:rPr>
              <w:t>This policy prov</w:t>
            </w:r>
            <w:r w:rsidR="003B319F" w:rsidRPr="00286A78">
              <w:rPr>
                <w:sz w:val="18"/>
                <w:szCs w:val="18"/>
              </w:rPr>
              <w:t>ides you</w:t>
            </w:r>
            <w:r w:rsidRPr="00286A78">
              <w:rPr>
                <w:sz w:val="18"/>
                <w:szCs w:val="18"/>
              </w:rPr>
              <w:t xml:space="preserve"> legal defence costs and damages you may become liable for when w</w:t>
            </w:r>
            <w:r w:rsidR="003B319F" w:rsidRPr="00286A78">
              <w:rPr>
                <w:sz w:val="18"/>
                <w:szCs w:val="18"/>
              </w:rPr>
              <w:t>orking in a management capacity at an entity.</w:t>
            </w:r>
          </w:p>
          <w:p w:rsidR="00080D91" w:rsidRPr="00286A78" w:rsidRDefault="00080D91" w:rsidP="004E3119">
            <w:pPr>
              <w:rPr>
                <w:sz w:val="18"/>
                <w:szCs w:val="18"/>
              </w:rPr>
            </w:pPr>
          </w:p>
          <w:p w:rsidR="00767BDB" w:rsidRPr="00286A78" w:rsidRDefault="00767BDB" w:rsidP="00C033A7">
            <w:pPr>
              <w:rPr>
                <w:sz w:val="18"/>
                <w:szCs w:val="18"/>
              </w:rPr>
            </w:pPr>
          </w:p>
        </w:tc>
      </w:tr>
      <w:tr w:rsidR="0047709A" w:rsidRPr="00AF43B5" w:rsidTr="00D62593">
        <w:trPr>
          <w:trHeight w:val="1252"/>
        </w:trPr>
        <w:tc>
          <w:tcPr>
            <w:tcW w:w="851" w:type="dxa"/>
            <w:vMerge w:val="restart"/>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drawing>
                <wp:inline distT="0" distB="0" distL="0" distR="0" wp14:anchorId="0EAF7FDE" wp14:editId="7DC928AF">
                  <wp:extent cx="360000" cy="376363"/>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rella 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523" w:type="dxa"/>
            <w:vMerge w:val="restart"/>
            <w:tcBorders>
              <w:left w:val="nil"/>
            </w:tcBorders>
            <w:shd w:val="clear" w:color="auto" w:fill="EDEDED" w:themeFill="accent3" w:themeFillTint="33"/>
            <w:tcMar>
              <w:top w:w="113" w:type="dxa"/>
            </w:tcMar>
          </w:tcPr>
          <w:p w:rsidR="00767BDB" w:rsidRPr="00286A78" w:rsidRDefault="00767BDB" w:rsidP="008500B5">
            <w:pPr>
              <w:jc w:val="both"/>
              <w:rPr>
                <w:b/>
                <w:sz w:val="18"/>
                <w:szCs w:val="18"/>
              </w:rPr>
            </w:pPr>
            <w:r w:rsidRPr="00286A78">
              <w:rPr>
                <w:b/>
                <w:sz w:val="18"/>
                <w:szCs w:val="18"/>
              </w:rPr>
              <w:t>What is insured?</w:t>
            </w:r>
          </w:p>
          <w:p w:rsidR="00297DD8" w:rsidRPr="00286A78" w:rsidRDefault="00297DD8" w:rsidP="00286A78">
            <w:pPr>
              <w:pStyle w:val="ListParagraph"/>
              <w:ind w:left="425"/>
              <w:jc w:val="both"/>
              <w:rPr>
                <w:sz w:val="18"/>
                <w:szCs w:val="18"/>
              </w:rPr>
            </w:pPr>
          </w:p>
          <w:p w:rsidR="00D62593" w:rsidRPr="00D85577" w:rsidRDefault="00D62593" w:rsidP="008500B5">
            <w:pPr>
              <w:pStyle w:val="ListParagraph"/>
              <w:numPr>
                <w:ilvl w:val="0"/>
                <w:numId w:val="1"/>
              </w:numPr>
              <w:ind w:left="425"/>
              <w:jc w:val="both"/>
              <w:rPr>
                <w:sz w:val="18"/>
                <w:szCs w:val="18"/>
              </w:rPr>
            </w:pPr>
            <w:r w:rsidRPr="00D85577">
              <w:rPr>
                <w:sz w:val="18"/>
                <w:szCs w:val="18"/>
              </w:rPr>
              <w:t xml:space="preserve">Loss for claims made against you whilst serving as a director, officer, or other equivalent executive </w:t>
            </w:r>
            <w:r w:rsidR="000304E9" w:rsidRPr="00D85577">
              <w:rPr>
                <w:sz w:val="18"/>
                <w:szCs w:val="18"/>
              </w:rPr>
              <w:t>position in a company</w:t>
            </w:r>
            <w:r w:rsidRPr="00D85577">
              <w:rPr>
                <w:sz w:val="18"/>
                <w:szCs w:val="18"/>
              </w:rPr>
              <w:t xml:space="preserve"> </w:t>
            </w:r>
          </w:p>
          <w:p w:rsidR="002F048A" w:rsidRPr="00D85577" w:rsidRDefault="002F048A" w:rsidP="008500B5">
            <w:pPr>
              <w:pStyle w:val="ListParagraph"/>
              <w:numPr>
                <w:ilvl w:val="0"/>
                <w:numId w:val="1"/>
              </w:numPr>
              <w:ind w:left="425"/>
              <w:jc w:val="both"/>
              <w:rPr>
                <w:sz w:val="18"/>
                <w:szCs w:val="18"/>
              </w:rPr>
            </w:pPr>
            <w:r w:rsidRPr="00D85577">
              <w:rPr>
                <w:sz w:val="18"/>
                <w:szCs w:val="18"/>
              </w:rPr>
              <w:t xml:space="preserve">Additional limit of indemnity for </w:t>
            </w:r>
            <w:r w:rsidR="00806456" w:rsidRPr="00D85577">
              <w:rPr>
                <w:sz w:val="18"/>
                <w:szCs w:val="18"/>
              </w:rPr>
              <w:t>non-</w:t>
            </w:r>
            <w:r w:rsidR="004752C2" w:rsidRPr="00D85577">
              <w:rPr>
                <w:sz w:val="18"/>
                <w:szCs w:val="18"/>
              </w:rPr>
              <w:t>e</w:t>
            </w:r>
            <w:r w:rsidR="00806456" w:rsidRPr="00D85577">
              <w:rPr>
                <w:sz w:val="18"/>
                <w:szCs w:val="18"/>
              </w:rPr>
              <w:t>xecutive</w:t>
            </w:r>
            <w:r w:rsidRPr="00D85577">
              <w:rPr>
                <w:sz w:val="18"/>
                <w:szCs w:val="18"/>
              </w:rPr>
              <w:t xml:space="preserve"> directors</w:t>
            </w:r>
            <w:r w:rsidR="00806456" w:rsidRPr="00D85577">
              <w:rPr>
                <w:sz w:val="18"/>
                <w:szCs w:val="18"/>
              </w:rPr>
              <w:t xml:space="preserve">: if the limit has been exhausted, then cover will be increased to pay losses for non executive directors. </w:t>
            </w:r>
          </w:p>
          <w:p w:rsidR="00806456" w:rsidRPr="00D85577" w:rsidRDefault="00806456" w:rsidP="008500B5">
            <w:pPr>
              <w:pStyle w:val="ListParagraph"/>
              <w:numPr>
                <w:ilvl w:val="0"/>
                <w:numId w:val="1"/>
              </w:numPr>
              <w:ind w:left="425"/>
              <w:jc w:val="both"/>
              <w:rPr>
                <w:sz w:val="18"/>
                <w:szCs w:val="18"/>
              </w:rPr>
            </w:pPr>
            <w:r w:rsidRPr="00D85577">
              <w:rPr>
                <w:sz w:val="18"/>
                <w:szCs w:val="18"/>
              </w:rPr>
              <w:t xml:space="preserve">Legal representation expenses: </w:t>
            </w:r>
            <w:r w:rsidR="000304E9" w:rsidRPr="00D85577">
              <w:rPr>
                <w:sz w:val="18"/>
                <w:szCs w:val="18"/>
              </w:rPr>
              <w:t>defence</w:t>
            </w:r>
            <w:r w:rsidR="00DB0730" w:rsidRPr="00D85577">
              <w:rPr>
                <w:sz w:val="18"/>
                <w:szCs w:val="18"/>
              </w:rPr>
              <w:t xml:space="preserve"> </w:t>
            </w:r>
            <w:r w:rsidR="000304E9" w:rsidRPr="00D85577">
              <w:rPr>
                <w:sz w:val="18"/>
                <w:szCs w:val="18"/>
              </w:rPr>
              <w:t xml:space="preserve"> </w:t>
            </w:r>
            <w:r w:rsidRPr="00D85577">
              <w:rPr>
                <w:sz w:val="18"/>
                <w:szCs w:val="18"/>
              </w:rPr>
              <w:t>costs</w:t>
            </w:r>
            <w:r w:rsidR="00DB0730" w:rsidRPr="00D85577">
              <w:rPr>
                <w:sz w:val="18"/>
                <w:szCs w:val="18"/>
              </w:rPr>
              <w:t xml:space="preserve"> </w:t>
            </w:r>
            <w:r w:rsidRPr="00D85577">
              <w:rPr>
                <w:sz w:val="18"/>
                <w:szCs w:val="18"/>
              </w:rPr>
              <w:t>arising from any formal investigation</w:t>
            </w:r>
            <w:r w:rsidR="004752C2" w:rsidRPr="00D85577">
              <w:rPr>
                <w:sz w:val="18"/>
                <w:szCs w:val="18"/>
              </w:rPr>
              <w:t>s</w:t>
            </w:r>
            <w:r w:rsidR="008E1706" w:rsidRPr="00D85577">
              <w:rPr>
                <w:sz w:val="18"/>
                <w:szCs w:val="18"/>
              </w:rPr>
              <w:t xml:space="preserve"> </w:t>
            </w:r>
            <w:r w:rsidRPr="00D85577">
              <w:rPr>
                <w:sz w:val="18"/>
                <w:szCs w:val="18"/>
              </w:rPr>
              <w:t xml:space="preserve"> </w:t>
            </w:r>
          </w:p>
          <w:p w:rsidR="00806456" w:rsidRPr="00D85577" w:rsidRDefault="000304E9" w:rsidP="00806456">
            <w:pPr>
              <w:pStyle w:val="ListParagraph"/>
              <w:numPr>
                <w:ilvl w:val="0"/>
                <w:numId w:val="1"/>
              </w:numPr>
              <w:ind w:left="425"/>
              <w:jc w:val="both"/>
              <w:rPr>
                <w:sz w:val="18"/>
                <w:szCs w:val="18"/>
              </w:rPr>
            </w:pPr>
            <w:r w:rsidRPr="00D85577">
              <w:rPr>
                <w:sz w:val="18"/>
                <w:szCs w:val="18"/>
              </w:rPr>
              <w:t>A</w:t>
            </w:r>
            <w:r w:rsidR="00806456" w:rsidRPr="00D85577">
              <w:rPr>
                <w:sz w:val="18"/>
                <w:szCs w:val="18"/>
              </w:rPr>
              <w:t>t a</w:t>
            </w:r>
            <w:r w:rsidR="00673865" w:rsidRPr="00D85577">
              <w:rPr>
                <w:sz w:val="18"/>
                <w:szCs w:val="18"/>
              </w:rPr>
              <w:t>n</w:t>
            </w:r>
            <w:r w:rsidR="00806456" w:rsidRPr="00D85577">
              <w:rPr>
                <w:sz w:val="18"/>
                <w:szCs w:val="18"/>
              </w:rPr>
              <w:t xml:space="preserve"> insured individual</w:t>
            </w:r>
            <w:r w:rsidRPr="00D85577">
              <w:rPr>
                <w:sz w:val="18"/>
                <w:szCs w:val="18"/>
              </w:rPr>
              <w:t>'</w:t>
            </w:r>
            <w:r w:rsidR="00806456" w:rsidRPr="00D85577">
              <w:rPr>
                <w:sz w:val="18"/>
                <w:szCs w:val="18"/>
              </w:rPr>
              <w:t xml:space="preserve">s request, cover for </w:t>
            </w:r>
            <w:r w:rsidR="008E1706" w:rsidRPr="00D85577">
              <w:rPr>
                <w:sz w:val="18"/>
                <w:szCs w:val="18"/>
              </w:rPr>
              <w:t>your s</w:t>
            </w:r>
            <w:r w:rsidR="00806456" w:rsidRPr="00D85577">
              <w:rPr>
                <w:sz w:val="18"/>
                <w:szCs w:val="18"/>
              </w:rPr>
              <w:t xml:space="preserve">pouse or </w:t>
            </w:r>
            <w:r w:rsidR="008E1706" w:rsidRPr="00D85577">
              <w:rPr>
                <w:sz w:val="18"/>
                <w:szCs w:val="18"/>
              </w:rPr>
              <w:t>c</w:t>
            </w:r>
            <w:r w:rsidR="00806456" w:rsidRPr="00D85577">
              <w:rPr>
                <w:sz w:val="18"/>
                <w:szCs w:val="18"/>
              </w:rPr>
              <w:t xml:space="preserve">ivil </w:t>
            </w:r>
            <w:r w:rsidR="008E1706" w:rsidRPr="00D85577">
              <w:rPr>
                <w:sz w:val="18"/>
                <w:szCs w:val="18"/>
              </w:rPr>
              <w:t>p</w:t>
            </w:r>
            <w:r w:rsidR="00806456" w:rsidRPr="00D85577">
              <w:rPr>
                <w:sz w:val="18"/>
                <w:szCs w:val="18"/>
              </w:rPr>
              <w:t xml:space="preserve">artner for liability they incur as a result of a management liability claim against </w:t>
            </w:r>
            <w:r w:rsidRPr="00D85577">
              <w:rPr>
                <w:sz w:val="18"/>
                <w:szCs w:val="18"/>
              </w:rPr>
              <w:t>you</w:t>
            </w:r>
            <w:r w:rsidR="00806456" w:rsidRPr="00D85577">
              <w:rPr>
                <w:sz w:val="18"/>
                <w:szCs w:val="18"/>
              </w:rPr>
              <w:t xml:space="preserve">. </w:t>
            </w:r>
          </w:p>
          <w:p w:rsidR="00806456" w:rsidRPr="00D85577" w:rsidRDefault="00806456" w:rsidP="00806456">
            <w:pPr>
              <w:pStyle w:val="ListParagraph"/>
              <w:numPr>
                <w:ilvl w:val="0"/>
                <w:numId w:val="1"/>
              </w:numPr>
              <w:ind w:left="425"/>
              <w:jc w:val="both"/>
              <w:rPr>
                <w:sz w:val="18"/>
                <w:szCs w:val="18"/>
              </w:rPr>
            </w:pPr>
            <w:r w:rsidRPr="00D85577">
              <w:rPr>
                <w:sz w:val="18"/>
                <w:szCs w:val="18"/>
              </w:rPr>
              <w:t xml:space="preserve">Estate and </w:t>
            </w:r>
            <w:r w:rsidR="008E1706" w:rsidRPr="00D85577">
              <w:rPr>
                <w:sz w:val="18"/>
                <w:szCs w:val="18"/>
              </w:rPr>
              <w:t>l</w:t>
            </w:r>
            <w:r w:rsidRPr="00D85577">
              <w:rPr>
                <w:sz w:val="18"/>
                <w:szCs w:val="18"/>
              </w:rPr>
              <w:t xml:space="preserve">egal </w:t>
            </w:r>
            <w:r w:rsidR="008E1706" w:rsidRPr="00D85577">
              <w:rPr>
                <w:sz w:val="18"/>
                <w:szCs w:val="18"/>
              </w:rPr>
              <w:t>r</w:t>
            </w:r>
            <w:r w:rsidRPr="00D85577">
              <w:rPr>
                <w:sz w:val="18"/>
                <w:szCs w:val="18"/>
              </w:rPr>
              <w:t xml:space="preserve">epresentatives: </w:t>
            </w:r>
            <w:r w:rsidR="009203D2" w:rsidRPr="00D85577">
              <w:rPr>
                <w:sz w:val="18"/>
                <w:szCs w:val="18"/>
              </w:rPr>
              <w:t>cover against the estate, heirs, legal representatives or assignees of an insured individual who is bankrupt, insolvent or deceased.</w:t>
            </w:r>
          </w:p>
          <w:p w:rsidR="004D3C39" w:rsidRPr="00D85577" w:rsidRDefault="004D3C39" w:rsidP="004D3C39">
            <w:pPr>
              <w:pStyle w:val="ListParagraph"/>
              <w:numPr>
                <w:ilvl w:val="0"/>
                <w:numId w:val="1"/>
              </w:numPr>
              <w:ind w:left="425"/>
              <w:jc w:val="both"/>
              <w:rPr>
                <w:sz w:val="18"/>
                <w:szCs w:val="18"/>
              </w:rPr>
            </w:pPr>
            <w:r w:rsidRPr="00D85577">
              <w:rPr>
                <w:sz w:val="18"/>
                <w:szCs w:val="18"/>
              </w:rPr>
              <w:t xml:space="preserve">Emergency </w:t>
            </w:r>
            <w:r w:rsidR="008E1706" w:rsidRPr="00D85577">
              <w:rPr>
                <w:sz w:val="18"/>
                <w:szCs w:val="18"/>
              </w:rPr>
              <w:t>d</w:t>
            </w:r>
            <w:r w:rsidRPr="00D85577">
              <w:rPr>
                <w:sz w:val="18"/>
                <w:szCs w:val="18"/>
              </w:rPr>
              <w:t xml:space="preserve">efence </w:t>
            </w:r>
            <w:r w:rsidR="008E1706" w:rsidRPr="00D85577">
              <w:rPr>
                <w:sz w:val="18"/>
                <w:szCs w:val="18"/>
              </w:rPr>
              <w:t>c</w:t>
            </w:r>
            <w:r w:rsidRPr="00D85577">
              <w:rPr>
                <w:sz w:val="18"/>
                <w:szCs w:val="18"/>
              </w:rPr>
              <w:t xml:space="preserve">osts: are provided if you cannot obtain </w:t>
            </w:r>
            <w:r w:rsidR="00673865" w:rsidRPr="00D85577">
              <w:rPr>
                <w:sz w:val="18"/>
                <w:szCs w:val="18"/>
              </w:rPr>
              <w:t>our</w:t>
            </w:r>
            <w:r w:rsidRPr="00D85577">
              <w:rPr>
                <w:sz w:val="18"/>
                <w:szCs w:val="18"/>
              </w:rPr>
              <w:t xml:space="preserve"> consent before you need to incur defence costs</w:t>
            </w:r>
          </w:p>
          <w:p w:rsidR="004D3C39" w:rsidRPr="00D85577" w:rsidRDefault="004D3C39" w:rsidP="004D3C39">
            <w:pPr>
              <w:pStyle w:val="ListParagraph"/>
              <w:numPr>
                <w:ilvl w:val="0"/>
                <w:numId w:val="1"/>
              </w:numPr>
              <w:ind w:left="425"/>
              <w:jc w:val="both"/>
              <w:rPr>
                <w:sz w:val="18"/>
                <w:szCs w:val="18"/>
              </w:rPr>
            </w:pPr>
            <w:r w:rsidRPr="00D85577">
              <w:rPr>
                <w:sz w:val="18"/>
                <w:szCs w:val="18"/>
              </w:rPr>
              <w:t>Defence costs arising from an extradition proceeding</w:t>
            </w:r>
            <w:r w:rsidR="00F04E8F" w:rsidRPr="00D85577">
              <w:rPr>
                <w:sz w:val="18"/>
                <w:szCs w:val="18"/>
              </w:rPr>
              <w:t xml:space="preserve">, </w:t>
            </w:r>
            <w:r w:rsidR="000A4838" w:rsidRPr="00D85577">
              <w:rPr>
                <w:sz w:val="18"/>
                <w:szCs w:val="18"/>
              </w:rPr>
              <w:t>freezing order</w:t>
            </w:r>
            <w:r w:rsidR="00F04E8F" w:rsidRPr="00D85577">
              <w:rPr>
                <w:sz w:val="18"/>
                <w:szCs w:val="18"/>
              </w:rPr>
              <w:t xml:space="preserve"> or prosecution for corporate manslaughter</w:t>
            </w:r>
            <w:r w:rsidRPr="00D85577">
              <w:rPr>
                <w:sz w:val="18"/>
                <w:szCs w:val="18"/>
              </w:rPr>
              <w:t xml:space="preserve">. </w:t>
            </w:r>
          </w:p>
          <w:p w:rsidR="000A4838" w:rsidRPr="00D85577" w:rsidRDefault="000A4838">
            <w:pPr>
              <w:pStyle w:val="ListParagraph"/>
              <w:numPr>
                <w:ilvl w:val="0"/>
                <w:numId w:val="1"/>
              </w:numPr>
              <w:ind w:left="425"/>
              <w:jc w:val="both"/>
              <w:rPr>
                <w:sz w:val="18"/>
                <w:szCs w:val="18"/>
              </w:rPr>
            </w:pPr>
            <w:r w:rsidRPr="00D85577">
              <w:rPr>
                <w:sz w:val="18"/>
                <w:szCs w:val="18"/>
              </w:rPr>
              <w:t>All reasonable and necessary travel and accommodation</w:t>
            </w:r>
            <w:r w:rsidR="00F04E8F" w:rsidRPr="00D85577">
              <w:rPr>
                <w:sz w:val="18"/>
                <w:szCs w:val="18"/>
              </w:rPr>
              <w:t xml:space="preserve"> costs.</w:t>
            </w:r>
            <w:r w:rsidRPr="00D85577">
              <w:rPr>
                <w:sz w:val="18"/>
                <w:szCs w:val="18"/>
              </w:rPr>
              <w:t xml:space="preserve"> </w:t>
            </w:r>
          </w:p>
          <w:p w:rsidR="000A4838" w:rsidRPr="00D85577" w:rsidRDefault="000A4838" w:rsidP="000A4838">
            <w:pPr>
              <w:pStyle w:val="ListParagraph"/>
              <w:numPr>
                <w:ilvl w:val="0"/>
                <w:numId w:val="1"/>
              </w:numPr>
              <w:ind w:left="425"/>
              <w:jc w:val="both"/>
              <w:rPr>
                <w:sz w:val="18"/>
                <w:szCs w:val="18"/>
              </w:rPr>
            </w:pPr>
            <w:r w:rsidRPr="00D85577">
              <w:rPr>
                <w:sz w:val="18"/>
                <w:szCs w:val="18"/>
              </w:rPr>
              <w:t xml:space="preserve">Public </w:t>
            </w:r>
            <w:r w:rsidR="008E1706" w:rsidRPr="00D85577">
              <w:rPr>
                <w:sz w:val="18"/>
                <w:szCs w:val="18"/>
              </w:rPr>
              <w:t>r</w:t>
            </w:r>
            <w:r w:rsidRPr="00D85577">
              <w:rPr>
                <w:sz w:val="18"/>
                <w:szCs w:val="18"/>
              </w:rPr>
              <w:t xml:space="preserve">elations </w:t>
            </w:r>
            <w:r w:rsidR="008E1706" w:rsidRPr="00D85577">
              <w:rPr>
                <w:sz w:val="18"/>
                <w:szCs w:val="18"/>
              </w:rPr>
              <w:t>e</w:t>
            </w:r>
            <w:r w:rsidRPr="00D85577">
              <w:rPr>
                <w:sz w:val="18"/>
                <w:szCs w:val="18"/>
              </w:rPr>
              <w:t>xpenses: your reasonable and necessary costs in engaging the services of a public relations consultant in order to prevent or mitigate a claim against you</w:t>
            </w:r>
            <w:r w:rsidR="000304E9" w:rsidRPr="00D85577">
              <w:rPr>
                <w:sz w:val="18"/>
                <w:szCs w:val="18"/>
              </w:rPr>
              <w:t>.</w:t>
            </w:r>
            <w:r w:rsidRPr="00D85577">
              <w:rPr>
                <w:sz w:val="18"/>
                <w:szCs w:val="18"/>
              </w:rPr>
              <w:t xml:space="preserve"> </w:t>
            </w:r>
          </w:p>
          <w:p w:rsidR="00767BDB" w:rsidRPr="00286A78" w:rsidRDefault="00767BDB">
            <w:pPr>
              <w:rPr>
                <w:sz w:val="18"/>
                <w:szCs w:val="18"/>
              </w:rPr>
            </w:pPr>
          </w:p>
        </w:tc>
        <w:tc>
          <w:tcPr>
            <w:tcW w:w="786" w:type="dxa"/>
            <w:tcBorders>
              <w:right w:val="nil"/>
            </w:tcBorders>
            <w:shd w:val="clear" w:color="auto" w:fill="EDEDED" w:themeFill="accent3" w:themeFillTint="33"/>
            <w:tcMar>
              <w:top w:w="113" w:type="dxa"/>
            </w:tcMar>
          </w:tcPr>
          <w:p w:rsidR="00767BDB" w:rsidRPr="00286A78" w:rsidRDefault="0047709A" w:rsidP="008500B5">
            <w:pPr>
              <w:jc w:val="both"/>
              <w:rPr>
                <w:b/>
                <w:sz w:val="18"/>
                <w:szCs w:val="18"/>
              </w:rPr>
            </w:pPr>
            <w:r w:rsidRPr="00286A78">
              <w:rPr>
                <w:b/>
                <w:noProof/>
                <w:sz w:val="18"/>
                <w:szCs w:val="18"/>
                <w:lang w:val="en-US"/>
              </w:rPr>
              <w:drawing>
                <wp:inline distT="0" distB="0" distL="0" distR="0" wp14:anchorId="292AB4E4" wp14:editId="666A5748">
                  <wp:extent cx="360000" cy="376363"/>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 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332" w:type="dxa"/>
            <w:tcBorders>
              <w:left w:val="nil"/>
            </w:tcBorders>
            <w:shd w:val="clear" w:color="auto" w:fill="EDEDED" w:themeFill="accent3" w:themeFillTint="33"/>
            <w:tcMar>
              <w:top w:w="113" w:type="dxa"/>
            </w:tcMar>
          </w:tcPr>
          <w:p w:rsidR="00767BDB" w:rsidRPr="00286A78" w:rsidRDefault="00767BDB" w:rsidP="008500B5">
            <w:pPr>
              <w:jc w:val="both"/>
              <w:rPr>
                <w:b/>
                <w:sz w:val="18"/>
                <w:szCs w:val="18"/>
              </w:rPr>
            </w:pPr>
            <w:r w:rsidRPr="00286A78">
              <w:rPr>
                <w:b/>
                <w:sz w:val="18"/>
                <w:szCs w:val="18"/>
              </w:rPr>
              <w:t>What is not insured?</w:t>
            </w:r>
          </w:p>
          <w:p w:rsidR="00B77211" w:rsidRPr="00286A78" w:rsidRDefault="00B77211" w:rsidP="008500B5">
            <w:pPr>
              <w:jc w:val="both"/>
              <w:rPr>
                <w:sz w:val="18"/>
                <w:szCs w:val="18"/>
              </w:rPr>
            </w:pPr>
          </w:p>
          <w:p w:rsidR="00F04E8F" w:rsidRPr="00286A78" w:rsidRDefault="00F04E8F" w:rsidP="00F04E8F">
            <w:pPr>
              <w:pStyle w:val="ListParagraph"/>
              <w:numPr>
                <w:ilvl w:val="0"/>
                <w:numId w:val="2"/>
              </w:numPr>
              <w:ind w:left="362"/>
              <w:jc w:val="both"/>
              <w:rPr>
                <w:sz w:val="18"/>
                <w:szCs w:val="18"/>
              </w:rPr>
            </w:pPr>
            <w:r w:rsidRPr="00286A78">
              <w:rPr>
                <w:sz w:val="18"/>
                <w:szCs w:val="18"/>
              </w:rPr>
              <w:t>Your liability for circumstances or claims previously notified to another policy of insurance</w:t>
            </w:r>
          </w:p>
          <w:p w:rsidR="00F04E8F" w:rsidRPr="00286A78" w:rsidRDefault="00F04E8F" w:rsidP="008500B5">
            <w:pPr>
              <w:pStyle w:val="ListParagraph"/>
              <w:numPr>
                <w:ilvl w:val="0"/>
                <w:numId w:val="2"/>
              </w:numPr>
              <w:ind w:left="362"/>
              <w:jc w:val="both"/>
              <w:rPr>
                <w:sz w:val="18"/>
                <w:szCs w:val="18"/>
              </w:rPr>
            </w:pPr>
            <w:r w:rsidRPr="00286A78">
              <w:rPr>
                <w:sz w:val="18"/>
                <w:szCs w:val="18"/>
              </w:rPr>
              <w:t xml:space="preserve">Any pending or prior litigation. </w:t>
            </w:r>
          </w:p>
          <w:p w:rsidR="00F04E8F" w:rsidRPr="00286A78" w:rsidRDefault="00F04E8F" w:rsidP="00F04E8F">
            <w:pPr>
              <w:pStyle w:val="ListParagraph"/>
              <w:numPr>
                <w:ilvl w:val="0"/>
                <w:numId w:val="2"/>
              </w:numPr>
              <w:ind w:left="362"/>
              <w:jc w:val="both"/>
              <w:rPr>
                <w:sz w:val="18"/>
                <w:szCs w:val="18"/>
              </w:rPr>
            </w:pPr>
            <w:r w:rsidRPr="00286A78">
              <w:rPr>
                <w:sz w:val="18"/>
                <w:szCs w:val="18"/>
              </w:rPr>
              <w:t>Bodily injury or property</w:t>
            </w:r>
            <w:r w:rsidR="008E1706" w:rsidRPr="00286A78">
              <w:rPr>
                <w:sz w:val="18"/>
                <w:szCs w:val="18"/>
              </w:rPr>
              <w:t xml:space="preserve"> damage</w:t>
            </w:r>
            <w:r w:rsidRPr="00286A78">
              <w:rPr>
                <w:sz w:val="18"/>
                <w:szCs w:val="18"/>
              </w:rPr>
              <w:t xml:space="preserve"> claims. </w:t>
            </w:r>
          </w:p>
          <w:p w:rsidR="00F04E8F" w:rsidRPr="00286A78" w:rsidRDefault="00F04E8F" w:rsidP="00F04E8F">
            <w:pPr>
              <w:pStyle w:val="ListParagraph"/>
              <w:numPr>
                <w:ilvl w:val="0"/>
                <w:numId w:val="2"/>
              </w:numPr>
              <w:ind w:left="362"/>
              <w:jc w:val="both"/>
              <w:rPr>
                <w:sz w:val="18"/>
                <w:szCs w:val="18"/>
              </w:rPr>
            </w:pPr>
            <w:r w:rsidRPr="00286A78">
              <w:rPr>
                <w:sz w:val="18"/>
                <w:szCs w:val="18"/>
              </w:rPr>
              <w:t>Your liability for any damages arising from pollution</w:t>
            </w:r>
            <w:r w:rsidR="00A178B5" w:rsidRPr="00286A78">
              <w:rPr>
                <w:sz w:val="18"/>
                <w:szCs w:val="18"/>
              </w:rPr>
              <w:t>.</w:t>
            </w:r>
          </w:p>
          <w:p w:rsidR="00F04E8F" w:rsidRPr="00286A78" w:rsidRDefault="00A178B5" w:rsidP="008500B5">
            <w:pPr>
              <w:pStyle w:val="ListParagraph"/>
              <w:numPr>
                <w:ilvl w:val="0"/>
                <w:numId w:val="2"/>
              </w:numPr>
              <w:ind w:left="362"/>
              <w:jc w:val="both"/>
              <w:rPr>
                <w:sz w:val="18"/>
                <w:szCs w:val="18"/>
              </w:rPr>
            </w:pPr>
            <w:r w:rsidRPr="00286A78">
              <w:rPr>
                <w:sz w:val="18"/>
                <w:szCs w:val="18"/>
              </w:rPr>
              <w:t xml:space="preserve">Your liability for any actual or alleged violation of pension, profit sharing or other employee benefits. </w:t>
            </w:r>
          </w:p>
          <w:p w:rsidR="00A178B5" w:rsidRPr="00286A78" w:rsidRDefault="00A178B5" w:rsidP="00A178B5">
            <w:pPr>
              <w:pStyle w:val="ListParagraph"/>
              <w:numPr>
                <w:ilvl w:val="0"/>
                <w:numId w:val="2"/>
              </w:numPr>
              <w:ind w:left="362"/>
              <w:jc w:val="both"/>
              <w:rPr>
                <w:sz w:val="18"/>
                <w:szCs w:val="18"/>
              </w:rPr>
            </w:pPr>
            <w:r w:rsidRPr="00286A78">
              <w:rPr>
                <w:sz w:val="18"/>
                <w:szCs w:val="18"/>
              </w:rPr>
              <w:t>Deliberately criminal or fraudulent acts, errors or omissions.</w:t>
            </w:r>
          </w:p>
          <w:p w:rsidR="00DB0730" w:rsidRPr="00286A78" w:rsidRDefault="00A178B5" w:rsidP="008E1706">
            <w:pPr>
              <w:pStyle w:val="ListParagraph"/>
              <w:numPr>
                <w:ilvl w:val="0"/>
                <w:numId w:val="2"/>
              </w:numPr>
              <w:ind w:left="362"/>
              <w:jc w:val="both"/>
              <w:rPr>
                <w:sz w:val="18"/>
                <w:szCs w:val="18"/>
              </w:rPr>
            </w:pPr>
            <w:r w:rsidRPr="00286A78">
              <w:rPr>
                <w:sz w:val="18"/>
                <w:szCs w:val="18"/>
              </w:rPr>
              <w:t xml:space="preserve">Any private or public offering unless </w:t>
            </w:r>
            <w:r w:rsidR="002F05C4">
              <w:rPr>
                <w:sz w:val="18"/>
                <w:szCs w:val="18"/>
              </w:rPr>
              <w:t>otherwise covered under the policy</w:t>
            </w:r>
            <w:r w:rsidRPr="00286A78">
              <w:rPr>
                <w:sz w:val="18"/>
                <w:szCs w:val="18"/>
              </w:rPr>
              <w:t xml:space="preserve">. </w:t>
            </w:r>
          </w:p>
          <w:p w:rsidR="003B319F" w:rsidRPr="00286A78" w:rsidRDefault="003B319F" w:rsidP="008E1706">
            <w:pPr>
              <w:pStyle w:val="ListParagraph"/>
              <w:numPr>
                <w:ilvl w:val="0"/>
                <w:numId w:val="2"/>
              </w:numPr>
              <w:ind w:left="362"/>
              <w:jc w:val="both"/>
              <w:rPr>
                <w:sz w:val="18"/>
                <w:szCs w:val="18"/>
              </w:rPr>
            </w:pPr>
            <w:r w:rsidRPr="00286A78">
              <w:rPr>
                <w:sz w:val="18"/>
                <w:szCs w:val="18"/>
              </w:rPr>
              <w:t xml:space="preserve">Any claim relating to the failure to perform professional services. </w:t>
            </w:r>
          </w:p>
          <w:p w:rsidR="003B319F" w:rsidRPr="00286A78" w:rsidRDefault="003B319F" w:rsidP="008500B5">
            <w:pPr>
              <w:pStyle w:val="ListParagraph"/>
              <w:numPr>
                <w:ilvl w:val="0"/>
                <w:numId w:val="2"/>
              </w:numPr>
              <w:ind w:left="362"/>
              <w:jc w:val="both"/>
              <w:rPr>
                <w:sz w:val="18"/>
                <w:szCs w:val="18"/>
              </w:rPr>
            </w:pPr>
            <w:r w:rsidRPr="00286A78">
              <w:rPr>
                <w:sz w:val="18"/>
                <w:szCs w:val="18"/>
              </w:rPr>
              <w:t>Any cover prohibited by sanctions</w:t>
            </w:r>
          </w:p>
          <w:p w:rsidR="00E25EBF" w:rsidRPr="00286A78" w:rsidRDefault="00E25EBF" w:rsidP="002E70E5">
            <w:pPr>
              <w:ind w:left="2"/>
              <w:rPr>
                <w:sz w:val="18"/>
                <w:szCs w:val="18"/>
              </w:rPr>
            </w:pPr>
          </w:p>
        </w:tc>
      </w:tr>
      <w:tr w:rsidR="0047709A" w:rsidRPr="00AF43B5" w:rsidTr="00D62593">
        <w:trPr>
          <w:trHeight w:val="2088"/>
        </w:trPr>
        <w:tc>
          <w:tcPr>
            <w:tcW w:w="851" w:type="dxa"/>
            <w:vMerge/>
            <w:tcBorders>
              <w:right w:val="nil"/>
            </w:tcBorders>
            <w:shd w:val="clear" w:color="auto" w:fill="EDEDED" w:themeFill="accent3" w:themeFillTint="33"/>
            <w:tcMar>
              <w:top w:w="113" w:type="dxa"/>
            </w:tcMar>
          </w:tcPr>
          <w:p w:rsidR="00767BDB" w:rsidRPr="00286A78" w:rsidRDefault="00767BDB" w:rsidP="00237ED4">
            <w:pPr>
              <w:jc w:val="center"/>
              <w:rPr>
                <w:sz w:val="18"/>
                <w:szCs w:val="18"/>
              </w:rPr>
            </w:pPr>
          </w:p>
        </w:tc>
        <w:tc>
          <w:tcPr>
            <w:tcW w:w="4523" w:type="dxa"/>
            <w:vMerge/>
            <w:tcBorders>
              <w:left w:val="nil"/>
            </w:tcBorders>
            <w:shd w:val="clear" w:color="auto" w:fill="EDEDED" w:themeFill="accent3" w:themeFillTint="33"/>
            <w:tcMar>
              <w:top w:w="113" w:type="dxa"/>
            </w:tcMar>
          </w:tcPr>
          <w:p w:rsidR="00767BDB" w:rsidRPr="00286A78" w:rsidRDefault="00767BDB" w:rsidP="008500B5">
            <w:pPr>
              <w:jc w:val="both"/>
              <w:rPr>
                <w:sz w:val="18"/>
                <w:szCs w:val="18"/>
              </w:rPr>
            </w:pPr>
          </w:p>
        </w:tc>
        <w:tc>
          <w:tcPr>
            <w:tcW w:w="786" w:type="dxa"/>
            <w:tcBorders>
              <w:right w:val="nil"/>
            </w:tcBorders>
            <w:shd w:val="clear" w:color="auto" w:fill="EDEDED" w:themeFill="accent3" w:themeFillTint="33"/>
            <w:tcMar>
              <w:top w:w="113" w:type="dxa"/>
            </w:tcMar>
          </w:tcPr>
          <w:p w:rsidR="00767BDB" w:rsidRPr="00286A78" w:rsidRDefault="0047709A" w:rsidP="008500B5">
            <w:pPr>
              <w:jc w:val="both"/>
              <w:rPr>
                <w:b/>
                <w:sz w:val="18"/>
                <w:szCs w:val="18"/>
              </w:rPr>
            </w:pPr>
            <w:r w:rsidRPr="00286A78">
              <w:rPr>
                <w:b/>
                <w:noProof/>
                <w:sz w:val="18"/>
                <w:szCs w:val="18"/>
                <w:lang w:val="en-US"/>
              </w:rPr>
              <w:drawing>
                <wp:inline distT="0" distB="0" distL="0" distR="0" wp14:anchorId="48E38F4A" wp14:editId="5CFCD6FC">
                  <wp:extent cx="360000" cy="376363"/>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ation 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332" w:type="dxa"/>
            <w:tcBorders>
              <w:left w:val="nil"/>
            </w:tcBorders>
            <w:shd w:val="clear" w:color="auto" w:fill="EDEDED" w:themeFill="accent3" w:themeFillTint="33"/>
            <w:tcMar>
              <w:top w:w="113" w:type="dxa"/>
            </w:tcMar>
          </w:tcPr>
          <w:p w:rsidR="00767BDB" w:rsidRPr="00286A78" w:rsidRDefault="00767BDB" w:rsidP="008500B5">
            <w:pPr>
              <w:jc w:val="both"/>
              <w:rPr>
                <w:sz w:val="18"/>
                <w:szCs w:val="18"/>
              </w:rPr>
            </w:pPr>
            <w:r w:rsidRPr="00286A78">
              <w:rPr>
                <w:b/>
                <w:sz w:val="18"/>
                <w:szCs w:val="18"/>
              </w:rPr>
              <w:t>Are there any restrictions on cover?</w:t>
            </w:r>
          </w:p>
          <w:p w:rsidR="00E25EBF" w:rsidRPr="00286A78" w:rsidRDefault="00E25EBF" w:rsidP="000F14A8">
            <w:pPr>
              <w:pStyle w:val="ListParagraph"/>
              <w:numPr>
                <w:ilvl w:val="0"/>
                <w:numId w:val="3"/>
              </w:numPr>
              <w:ind w:left="393"/>
              <w:jc w:val="both"/>
              <w:rPr>
                <w:sz w:val="18"/>
                <w:szCs w:val="18"/>
              </w:rPr>
            </w:pPr>
            <w:r w:rsidRPr="00286A78">
              <w:rPr>
                <w:sz w:val="18"/>
                <w:szCs w:val="18"/>
              </w:rPr>
              <w:t xml:space="preserve">We will not pay more than the limits </w:t>
            </w:r>
            <w:r w:rsidR="00491AAE" w:rsidRPr="00286A78">
              <w:rPr>
                <w:sz w:val="18"/>
                <w:szCs w:val="18"/>
              </w:rPr>
              <w:t xml:space="preserve">and sub-limits of liability </w:t>
            </w:r>
            <w:r w:rsidRPr="00286A78">
              <w:rPr>
                <w:sz w:val="18"/>
                <w:szCs w:val="18"/>
              </w:rPr>
              <w:t xml:space="preserve">specified in your </w:t>
            </w:r>
            <w:r w:rsidR="002F05C4">
              <w:rPr>
                <w:sz w:val="18"/>
                <w:szCs w:val="18"/>
              </w:rPr>
              <w:t>s</w:t>
            </w:r>
            <w:r w:rsidRPr="00286A78">
              <w:rPr>
                <w:sz w:val="18"/>
                <w:szCs w:val="18"/>
              </w:rPr>
              <w:t xml:space="preserve">chedule.  </w:t>
            </w:r>
          </w:p>
          <w:p w:rsidR="00535958" w:rsidRPr="00286A78" w:rsidRDefault="00535958" w:rsidP="00F56BAF">
            <w:pPr>
              <w:pStyle w:val="ListParagraph"/>
              <w:numPr>
                <w:ilvl w:val="0"/>
                <w:numId w:val="3"/>
              </w:numPr>
              <w:ind w:left="393"/>
              <w:jc w:val="both"/>
              <w:rPr>
                <w:sz w:val="18"/>
                <w:szCs w:val="18"/>
              </w:rPr>
            </w:pPr>
            <w:r w:rsidRPr="00286A78">
              <w:rPr>
                <w:sz w:val="18"/>
                <w:szCs w:val="18"/>
              </w:rPr>
              <w:t>Claims</w:t>
            </w:r>
            <w:r w:rsidR="00F51DED" w:rsidRPr="00286A78">
              <w:rPr>
                <w:sz w:val="18"/>
                <w:szCs w:val="18"/>
              </w:rPr>
              <w:t xml:space="preserve">, Formal Investigations, Extradition Proceedings or Freezing Order </w:t>
            </w:r>
            <w:r w:rsidRPr="00286A78">
              <w:rPr>
                <w:sz w:val="18"/>
                <w:szCs w:val="18"/>
              </w:rPr>
              <w:t xml:space="preserve">must be first made against </w:t>
            </w:r>
            <w:r w:rsidR="00A178B5" w:rsidRPr="00286A78">
              <w:rPr>
                <w:sz w:val="18"/>
                <w:szCs w:val="18"/>
              </w:rPr>
              <w:t xml:space="preserve">the insured individual </w:t>
            </w:r>
            <w:r w:rsidRPr="00286A78">
              <w:rPr>
                <w:sz w:val="18"/>
                <w:szCs w:val="18"/>
              </w:rPr>
              <w:t xml:space="preserve">during the policy period or any Extended Reporting Period.  </w:t>
            </w:r>
          </w:p>
          <w:p w:rsidR="00505DA4" w:rsidRPr="00286A78" w:rsidRDefault="00505DA4" w:rsidP="00F56BAF">
            <w:pPr>
              <w:pStyle w:val="ListParagraph"/>
              <w:numPr>
                <w:ilvl w:val="0"/>
                <w:numId w:val="3"/>
              </w:numPr>
              <w:ind w:left="393"/>
              <w:jc w:val="both"/>
              <w:rPr>
                <w:sz w:val="18"/>
                <w:szCs w:val="18"/>
              </w:rPr>
            </w:pPr>
            <w:r w:rsidRPr="00286A78">
              <w:rPr>
                <w:sz w:val="18"/>
                <w:szCs w:val="18"/>
              </w:rPr>
              <w:t xml:space="preserve">You will have to pay the first part of any claim, formal investigation or extradition proceeding subject to a </w:t>
            </w:r>
            <w:r w:rsidR="002F05C4">
              <w:rPr>
                <w:sz w:val="18"/>
                <w:szCs w:val="18"/>
              </w:rPr>
              <w:t>r</w:t>
            </w:r>
            <w:r w:rsidRPr="00286A78">
              <w:rPr>
                <w:sz w:val="18"/>
                <w:szCs w:val="18"/>
              </w:rPr>
              <w:t xml:space="preserve">etention.  The </w:t>
            </w:r>
            <w:r w:rsidR="00F56BAF" w:rsidRPr="00286A78">
              <w:rPr>
                <w:sz w:val="18"/>
                <w:szCs w:val="18"/>
              </w:rPr>
              <w:t>r</w:t>
            </w:r>
            <w:r w:rsidRPr="00286A78">
              <w:rPr>
                <w:sz w:val="18"/>
                <w:szCs w:val="18"/>
              </w:rPr>
              <w:t xml:space="preserve">etention amounts are set forth in </w:t>
            </w:r>
            <w:r w:rsidR="00F56BAF" w:rsidRPr="00286A78">
              <w:rPr>
                <w:sz w:val="18"/>
                <w:szCs w:val="18"/>
              </w:rPr>
              <w:t>y</w:t>
            </w:r>
            <w:r w:rsidRPr="00286A78">
              <w:rPr>
                <w:sz w:val="18"/>
                <w:szCs w:val="18"/>
              </w:rPr>
              <w:t xml:space="preserve">our </w:t>
            </w:r>
            <w:r w:rsidR="00F56BAF" w:rsidRPr="00286A78">
              <w:rPr>
                <w:sz w:val="18"/>
                <w:szCs w:val="18"/>
              </w:rPr>
              <w:t>s</w:t>
            </w:r>
            <w:r w:rsidRPr="00286A78">
              <w:rPr>
                <w:sz w:val="18"/>
                <w:szCs w:val="18"/>
              </w:rPr>
              <w:t xml:space="preserve">chedule.  </w:t>
            </w:r>
          </w:p>
          <w:p w:rsidR="00E25EBF" w:rsidRPr="00286A78" w:rsidRDefault="00E25EBF" w:rsidP="000F14A8">
            <w:pPr>
              <w:pStyle w:val="ListParagraph"/>
              <w:numPr>
                <w:ilvl w:val="0"/>
                <w:numId w:val="3"/>
              </w:numPr>
              <w:ind w:left="393"/>
              <w:jc w:val="both"/>
              <w:rPr>
                <w:sz w:val="18"/>
                <w:szCs w:val="18"/>
              </w:rPr>
            </w:pPr>
            <w:r w:rsidRPr="00286A78">
              <w:rPr>
                <w:sz w:val="18"/>
                <w:szCs w:val="18"/>
              </w:rPr>
              <w:t>Other restrictions apply as set forth in the policy</w:t>
            </w:r>
          </w:p>
        </w:tc>
      </w:tr>
      <w:tr w:rsidR="00767BDB" w:rsidRPr="00AF43B5" w:rsidTr="002B09EB">
        <w:trPr>
          <w:trHeight w:val="907"/>
        </w:trPr>
        <w:tc>
          <w:tcPr>
            <w:tcW w:w="851" w:type="dxa"/>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drawing>
                <wp:inline distT="0" distB="0" distL="0" distR="0" wp14:anchorId="45D29F12" wp14:editId="3C2D4B42">
                  <wp:extent cx="344348"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bal 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767BDB" w:rsidRPr="00286A78" w:rsidRDefault="00767BDB" w:rsidP="008500B5">
            <w:pPr>
              <w:jc w:val="both"/>
              <w:rPr>
                <w:sz w:val="18"/>
                <w:szCs w:val="18"/>
              </w:rPr>
            </w:pPr>
            <w:r w:rsidRPr="00286A78">
              <w:rPr>
                <w:b/>
                <w:sz w:val="18"/>
                <w:szCs w:val="18"/>
              </w:rPr>
              <w:t>Where am I covered?</w:t>
            </w:r>
          </w:p>
          <w:p w:rsidR="00767BDB" w:rsidRPr="00286A78" w:rsidRDefault="00D85577" w:rsidP="00F56BAF">
            <w:pPr>
              <w:pStyle w:val="ListParagraph"/>
              <w:numPr>
                <w:ilvl w:val="0"/>
                <w:numId w:val="8"/>
              </w:numPr>
              <w:ind w:left="409"/>
              <w:jc w:val="both"/>
              <w:rPr>
                <w:sz w:val="18"/>
                <w:szCs w:val="18"/>
              </w:rPr>
            </w:pPr>
            <w:r>
              <w:rPr>
                <w:noProof/>
                <w:sz w:val="18"/>
                <w:szCs w:val="18"/>
              </w:rPr>
              <w:t xml:space="preserve">Worldwide subject to UK law and jurisidiction. </w:t>
            </w:r>
            <w:r w:rsidR="00286A78">
              <w:rPr>
                <w:noProof/>
                <w:sz w:val="18"/>
                <w:szCs w:val="18"/>
              </w:rPr>
              <w:t xml:space="preserve"> </w:t>
            </w:r>
            <w:r w:rsidR="00DB0730">
              <w:rPr>
                <w:noProof/>
                <w:sz w:val="18"/>
                <w:szCs w:val="18"/>
              </w:rPr>
              <w:t xml:space="preserve"> </w:t>
            </w:r>
          </w:p>
        </w:tc>
      </w:tr>
      <w:tr w:rsidR="005B137D" w:rsidRPr="00AF43B5" w:rsidTr="000F14A8">
        <w:trPr>
          <w:trHeight w:val="1363"/>
        </w:trPr>
        <w:tc>
          <w:tcPr>
            <w:tcW w:w="851" w:type="dxa"/>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drawing>
                <wp:inline distT="0" distB="0" distL="0" distR="0" wp14:anchorId="167803CD" wp14:editId="15368D71">
                  <wp:extent cx="344348"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 ic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767BDB" w:rsidRPr="00286A78" w:rsidRDefault="00767BDB" w:rsidP="008500B5">
            <w:pPr>
              <w:jc w:val="both"/>
              <w:rPr>
                <w:b/>
                <w:sz w:val="18"/>
                <w:szCs w:val="18"/>
              </w:rPr>
            </w:pPr>
            <w:r w:rsidRPr="00286A78">
              <w:rPr>
                <w:b/>
                <w:sz w:val="18"/>
                <w:szCs w:val="18"/>
              </w:rPr>
              <w:t>What are my obligations?</w:t>
            </w:r>
          </w:p>
          <w:p w:rsidR="003B319F" w:rsidRPr="00286A78" w:rsidRDefault="003B319F" w:rsidP="003B319F">
            <w:pPr>
              <w:pStyle w:val="ListParagraph"/>
              <w:numPr>
                <w:ilvl w:val="0"/>
                <w:numId w:val="5"/>
              </w:numPr>
              <w:ind w:left="425"/>
              <w:jc w:val="both"/>
              <w:rPr>
                <w:b/>
                <w:sz w:val="18"/>
                <w:szCs w:val="18"/>
              </w:rPr>
            </w:pPr>
            <w:r w:rsidRPr="00286A78">
              <w:rPr>
                <w:sz w:val="18"/>
                <w:szCs w:val="18"/>
              </w:rPr>
              <w:t xml:space="preserve">You shall take reasonable care to make sure that all information provided by you or on your behalf is honest and accurate. </w:t>
            </w:r>
          </w:p>
          <w:p w:rsidR="003B319F" w:rsidRPr="00286A78" w:rsidRDefault="003B319F" w:rsidP="003B319F">
            <w:pPr>
              <w:pStyle w:val="ListParagraph"/>
              <w:numPr>
                <w:ilvl w:val="0"/>
                <w:numId w:val="5"/>
              </w:numPr>
              <w:ind w:left="425"/>
              <w:jc w:val="both"/>
              <w:rPr>
                <w:b/>
                <w:sz w:val="18"/>
                <w:szCs w:val="18"/>
              </w:rPr>
            </w:pPr>
            <w:r w:rsidRPr="00286A78">
              <w:rPr>
                <w:sz w:val="18"/>
                <w:szCs w:val="18"/>
              </w:rPr>
              <w:t>It is your responsibility to comply with all terms and conditions of this policy</w:t>
            </w:r>
          </w:p>
          <w:p w:rsidR="003B319F" w:rsidRPr="00286A78" w:rsidRDefault="003B319F" w:rsidP="003B319F">
            <w:pPr>
              <w:pStyle w:val="ListParagraph"/>
              <w:numPr>
                <w:ilvl w:val="0"/>
                <w:numId w:val="5"/>
              </w:numPr>
              <w:spacing w:line="256" w:lineRule="auto"/>
              <w:ind w:left="425"/>
              <w:jc w:val="both"/>
              <w:rPr>
                <w:sz w:val="18"/>
                <w:szCs w:val="18"/>
              </w:rPr>
            </w:pPr>
            <w:r w:rsidRPr="00286A78">
              <w:rPr>
                <w:sz w:val="18"/>
                <w:szCs w:val="18"/>
              </w:rPr>
              <w:t xml:space="preserve">You shall provide </w:t>
            </w:r>
            <w:r w:rsidR="00F56BAF" w:rsidRPr="00286A78">
              <w:rPr>
                <w:sz w:val="18"/>
                <w:szCs w:val="18"/>
              </w:rPr>
              <w:t>us</w:t>
            </w:r>
            <w:r w:rsidRPr="00286A78">
              <w:rPr>
                <w:sz w:val="18"/>
                <w:szCs w:val="18"/>
              </w:rPr>
              <w:t xml:space="preserve"> with all information, assistance and co-operation which </w:t>
            </w:r>
            <w:r w:rsidR="00DB0730">
              <w:rPr>
                <w:sz w:val="18"/>
                <w:szCs w:val="18"/>
              </w:rPr>
              <w:t>we</w:t>
            </w:r>
            <w:r w:rsidRPr="00286A78">
              <w:rPr>
                <w:sz w:val="18"/>
                <w:szCs w:val="18"/>
              </w:rPr>
              <w:t xml:space="preserve"> reasonably request and shall do nothing that may prejudice</w:t>
            </w:r>
            <w:r w:rsidR="00BE06F6">
              <w:rPr>
                <w:sz w:val="18"/>
                <w:szCs w:val="18"/>
              </w:rPr>
              <w:t xml:space="preserve"> our </w:t>
            </w:r>
            <w:r w:rsidRPr="00286A78">
              <w:rPr>
                <w:sz w:val="18"/>
                <w:szCs w:val="18"/>
              </w:rPr>
              <w:t xml:space="preserve">potential or actual rights of recovery with respect to loss paid on account of a claim. </w:t>
            </w:r>
          </w:p>
          <w:p w:rsidR="00F56BAF" w:rsidRPr="00286A78" w:rsidRDefault="00F56BAF" w:rsidP="003B319F">
            <w:pPr>
              <w:pStyle w:val="ListParagraph"/>
              <w:numPr>
                <w:ilvl w:val="0"/>
                <w:numId w:val="5"/>
              </w:numPr>
              <w:spacing w:line="256" w:lineRule="auto"/>
              <w:ind w:left="425"/>
              <w:jc w:val="both"/>
              <w:rPr>
                <w:sz w:val="18"/>
                <w:szCs w:val="18"/>
              </w:rPr>
            </w:pPr>
            <w:r w:rsidRPr="00BE06F6">
              <w:rPr>
                <w:sz w:val="18"/>
                <w:szCs w:val="18"/>
              </w:rPr>
              <w:t>You must give written notice of any such claim o</w:t>
            </w:r>
            <w:r w:rsidRPr="00D62593">
              <w:rPr>
                <w:sz w:val="18"/>
                <w:szCs w:val="18"/>
              </w:rPr>
              <w:t xml:space="preserve">r circumstances which are likely to give rise to loss as soon as reasonably practicable, and follow the claims procedure set out in the policy. </w:t>
            </w:r>
          </w:p>
          <w:p w:rsidR="00767BDB" w:rsidRPr="00286A78" w:rsidRDefault="003B319F" w:rsidP="00286A78">
            <w:pPr>
              <w:pStyle w:val="ListParagraph"/>
              <w:numPr>
                <w:ilvl w:val="0"/>
                <w:numId w:val="5"/>
              </w:numPr>
              <w:ind w:left="425"/>
              <w:jc w:val="both"/>
              <w:rPr>
                <w:sz w:val="18"/>
                <w:szCs w:val="18"/>
              </w:rPr>
            </w:pPr>
            <w:r w:rsidRPr="00286A78">
              <w:rPr>
                <w:sz w:val="18"/>
                <w:szCs w:val="18"/>
              </w:rPr>
              <w:t xml:space="preserve">The </w:t>
            </w:r>
            <w:r w:rsidR="00286A78">
              <w:rPr>
                <w:sz w:val="18"/>
                <w:szCs w:val="18"/>
              </w:rPr>
              <w:t>Insured</w:t>
            </w:r>
            <w:r w:rsidRPr="00286A78">
              <w:rPr>
                <w:sz w:val="18"/>
                <w:szCs w:val="18"/>
              </w:rPr>
              <w:t xml:space="preserve"> shall not reveal the existence or amount of cover available unless you are contractually obligated to do so with </w:t>
            </w:r>
            <w:r w:rsidR="00DB0730">
              <w:rPr>
                <w:sz w:val="18"/>
                <w:szCs w:val="18"/>
              </w:rPr>
              <w:t>the company</w:t>
            </w:r>
            <w:r w:rsidRPr="00286A78">
              <w:rPr>
                <w:sz w:val="18"/>
                <w:szCs w:val="18"/>
              </w:rPr>
              <w:t xml:space="preserve"> or with AXIS Speciality SE’s written consent</w:t>
            </w:r>
          </w:p>
        </w:tc>
      </w:tr>
      <w:tr w:rsidR="00767BDB" w:rsidRPr="00AF43B5" w:rsidTr="002B09EB">
        <w:trPr>
          <w:trHeight w:val="907"/>
        </w:trPr>
        <w:tc>
          <w:tcPr>
            <w:tcW w:w="851" w:type="dxa"/>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lastRenderedPageBreak/>
              <w:drawing>
                <wp:inline distT="0" distB="0" distL="0" distR="0" wp14:anchorId="55143AF2" wp14:editId="0426377A">
                  <wp:extent cx="360000" cy="376363"/>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ros ic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767BDB" w:rsidRPr="00286A78" w:rsidRDefault="00767BDB" w:rsidP="008500B5">
            <w:pPr>
              <w:jc w:val="both"/>
              <w:rPr>
                <w:sz w:val="18"/>
                <w:szCs w:val="18"/>
              </w:rPr>
            </w:pPr>
            <w:r w:rsidRPr="00286A78">
              <w:rPr>
                <w:b/>
                <w:sz w:val="18"/>
                <w:szCs w:val="18"/>
              </w:rPr>
              <w:t>When and how do I pay?</w:t>
            </w:r>
          </w:p>
          <w:p w:rsidR="00767BDB" w:rsidRPr="00286A78" w:rsidRDefault="003549D6" w:rsidP="008500B5">
            <w:pPr>
              <w:jc w:val="both"/>
              <w:rPr>
                <w:sz w:val="18"/>
                <w:szCs w:val="18"/>
              </w:rPr>
            </w:pPr>
            <w:r w:rsidRPr="00286A78">
              <w:rPr>
                <w:sz w:val="18"/>
                <w:szCs w:val="18"/>
              </w:rPr>
              <w:t xml:space="preserve">The premium for this policy is shown in your </w:t>
            </w:r>
            <w:r w:rsidR="00F56BAF" w:rsidRPr="00286A78">
              <w:rPr>
                <w:sz w:val="18"/>
                <w:szCs w:val="18"/>
              </w:rPr>
              <w:t>s</w:t>
            </w:r>
            <w:r w:rsidRPr="00286A78">
              <w:rPr>
                <w:sz w:val="18"/>
                <w:szCs w:val="18"/>
              </w:rPr>
              <w:t>chedule. You must pay the any premium due for this policy within the time frames specified in the policy.</w:t>
            </w:r>
          </w:p>
        </w:tc>
      </w:tr>
      <w:tr w:rsidR="00767BDB" w:rsidRPr="00AF43B5" w:rsidTr="002B09EB">
        <w:trPr>
          <w:trHeight w:val="907"/>
        </w:trPr>
        <w:tc>
          <w:tcPr>
            <w:tcW w:w="851" w:type="dxa"/>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drawing>
                <wp:inline distT="0" distB="0" distL="0" distR="0" wp14:anchorId="571AD231" wp14:editId="3AFE91D2">
                  <wp:extent cx="344348"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 ic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767BDB" w:rsidRPr="00286A78" w:rsidRDefault="00767BDB" w:rsidP="008500B5">
            <w:pPr>
              <w:jc w:val="both"/>
              <w:rPr>
                <w:b/>
                <w:sz w:val="18"/>
                <w:szCs w:val="18"/>
              </w:rPr>
            </w:pPr>
            <w:r w:rsidRPr="00286A78">
              <w:rPr>
                <w:b/>
                <w:sz w:val="18"/>
                <w:szCs w:val="18"/>
              </w:rPr>
              <w:t>When does the cover start and end?</w:t>
            </w:r>
          </w:p>
          <w:p w:rsidR="00767BDB" w:rsidRPr="00286A78" w:rsidRDefault="00706554" w:rsidP="00F56BAF">
            <w:pPr>
              <w:jc w:val="both"/>
              <w:rPr>
                <w:sz w:val="18"/>
                <w:szCs w:val="18"/>
              </w:rPr>
            </w:pPr>
            <w:r w:rsidRPr="00286A78">
              <w:rPr>
                <w:sz w:val="18"/>
                <w:szCs w:val="18"/>
              </w:rPr>
              <w:t xml:space="preserve">Your policy will start and end on the dates specified as the </w:t>
            </w:r>
            <w:r w:rsidR="00F56BAF" w:rsidRPr="00286A78">
              <w:rPr>
                <w:sz w:val="18"/>
                <w:szCs w:val="18"/>
              </w:rPr>
              <w:t>p</w:t>
            </w:r>
            <w:r w:rsidRPr="00286A78">
              <w:rPr>
                <w:sz w:val="18"/>
                <w:szCs w:val="18"/>
              </w:rPr>
              <w:t xml:space="preserve">eriod of </w:t>
            </w:r>
            <w:r w:rsidR="00F56BAF" w:rsidRPr="00286A78">
              <w:rPr>
                <w:sz w:val="18"/>
                <w:szCs w:val="18"/>
              </w:rPr>
              <w:t>i</w:t>
            </w:r>
            <w:r w:rsidRPr="00286A78">
              <w:rPr>
                <w:sz w:val="18"/>
                <w:szCs w:val="18"/>
              </w:rPr>
              <w:t xml:space="preserve">nsurance in your </w:t>
            </w:r>
            <w:r w:rsidR="00F56BAF" w:rsidRPr="00286A78">
              <w:rPr>
                <w:sz w:val="18"/>
                <w:szCs w:val="18"/>
              </w:rPr>
              <w:t>s</w:t>
            </w:r>
            <w:r w:rsidRPr="00286A78">
              <w:rPr>
                <w:sz w:val="18"/>
                <w:szCs w:val="18"/>
              </w:rPr>
              <w:t xml:space="preserve">chedule, unless it is cancelled by you or by us before it ends. Our right to cancel is limited as set out in the policy.  </w:t>
            </w:r>
          </w:p>
        </w:tc>
      </w:tr>
      <w:tr w:rsidR="00767BDB" w:rsidRPr="00AF43B5" w:rsidTr="002B09EB">
        <w:trPr>
          <w:trHeight w:val="907"/>
        </w:trPr>
        <w:tc>
          <w:tcPr>
            <w:tcW w:w="851" w:type="dxa"/>
            <w:tcBorders>
              <w:right w:val="nil"/>
            </w:tcBorders>
            <w:shd w:val="clear" w:color="auto" w:fill="EDEDED" w:themeFill="accent3" w:themeFillTint="33"/>
            <w:tcMar>
              <w:top w:w="113" w:type="dxa"/>
            </w:tcMar>
          </w:tcPr>
          <w:p w:rsidR="00767BDB" w:rsidRPr="00286A78" w:rsidRDefault="0047709A" w:rsidP="00237ED4">
            <w:pPr>
              <w:jc w:val="center"/>
              <w:rPr>
                <w:b/>
                <w:sz w:val="18"/>
                <w:szCs w:val="18"/>
              </w:rPr>
            </w:pPr>
            <w:r w:rsidRPr="00286A78">
              <w:rPr>
                <w:b/>
                <w:noProof/>
                <w:sz w:val="18"/>
                <w:szCs w:val="18"/>
                <w:lang w:val="en-US"/>
              </w:rPr>
              <w:drawing>
                <wp:inline distT="0" distB="0" distL="0" distR="0" wp14:anchorId="41763824" wp14:editId="6F548921">
                  <wp:extent cx="360000" cy="376363"/>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ncel ic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767BDB" w:rsidRPr="00286A78" w:rsidRDefault="00767BDB" w:rsidP="008500B5">
            <w:pPr>
              <w:jc w:val="both"/>
              <w:rPr>
                <w:sz w:val="18"/>
                <w:szCs w:val="18"/>
              </w:rPr>
            </w:pPr>
            <w:r w:rsidRPr="00286A78">
              <w:rPr>
                <w:b/>
                <w:sz w:val="18"/>
                <w:szCs w:val="18"/>
              </w:rPr>
              <w:t>How do I cancel the contract?</w:t>
            </w:r>
          </w:p>
          <w:p w:rsidR="00767BDB" w:rsidRPr="00286A78" w:rsidRDefault="00C75491" w:rsidP="008500B5">
            <w:pPr>
              <w:jc w:val="both"/>
              <w:rPr>
                <w:sz w:val="18"/>
                <w:szCs w:val="18"/>
              </w:rPr>
            </w:pPr>
            <w:r w:rsidRPr="00286A78">
              <w:rPr>
                <w:sz w:val="18"/>
                <w:szCs w:val="18"/>
              </w:rPr>
              <w:t xml:space="preserve">This policy is non-cancellable, except for the non-payment of premium. </w:t>
            </w:r>
          </w:p>
        </w:tc>
      </w:tr>
    </w:tbl>
    <w:p w:rsidR="00EE58E3" w:rsidRPr="00AF43B5" w:rsidRDefault="00DD744A">
      <w:pPr>
        <w:rPr>
          <w:rFonts w:ascii="Verdana" w:hAnsi="Verdana"/>
          <w:sz w:val="18"/>
        </w:rPr>
      </w:pPr>
    </w:p>
    <w:sectPr w:rsidR="00EE58E3" w:rsidRPr="00AF43B5" w:rsidSect="00286A78">
      <w:pgSz w:w="11906" w:h="16838"/>
      <w:pgMar w:top="720" w:right="720" w:bottom="720" w:left="720" w:header="36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53125" w15:done="0"/>
  <w15:commentEx w15:paraId="0B2BFC5B" w15:done="0"/>
  <w15:commentEx w15:paraId="7D38713C" w15:done="0"/>
  <w15:commentEx w15:paraId="34055B29" w15:done="0"/>
  <w15:commentEx w15:paraId="11F312C6" w15:done="0"/>
  <w15:commentEx w15:paraId="0B78CAED" w15:done="0"/>
  <w15:commentEx w15:paraId="1DD44D80" w15:done="0"/>
  <w15:commentEx w15:paraId="1D7149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53125" w16cid:durableId="1ED603CF"/>
  <w16cid:commentId w16cid:paraId="0B2BFC5B" w16cid:durableId="1ED601A5"/>
  <w16cid:commentId w16cid:paraId="7D38713C" w16cid:durableId="1ED60139"/>
  <w16cid:commentId w16cid:paraId="34055B29" w16cid:durableId="1ED60175"/>
  <w16cid:commentId w16cid:paraId="11F312C6" w16cid:durableId="1ED60179"/>
  <w16cid:commentId w16cid:paraId="0B78CAED" w16cid:durableId="1ED6017D"/>
  <w16cid:commentId w16cid:paraId="1DD44D80" w16cid:durableId="1ED60181"/>
  <w16cid:commentId w16cid:paraId="1D7149B3" w16cid:durableId="1ED601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F9" w:rsidRDefault="000665F9" w:rsidP="000665F9">
      <w:pPr>
        <w:spacing w:after="0" w:line="240" w:lineRule="auto"/>
      </w:pPr>
      <w:r>
        <w:separator/>
      </w:r>
    </w:p>
  </w:endnote>
  <w:endnote w:type="continuationSeparator" w:id="0">
    <w:p w:rsidR="000665F9" w:rsidRDefault="000665F9" w:rsidP="0006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F9" w:rsidRDefault="000665F9" w:rsidP="000665F9">
      <w:pPr>
        <w:spacing w:after="0" w:line="240" w:lineRule="auto"/>
      </w:pPr>
      <w:r>
        <w:separator/>
      </w:r>
    </w:p>
  </w:footnote>
  <w:footnote w:type="continuationSeparator" w:id="0">
    <w:p w:rsidR="000665F9" w:rsidRDefault="000665F9" w:rsidP="00066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03B1"/>
    <w:multiLevelType w:val="hybridMultilevel"/>
    <w:tmpl w:val="3BA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C18F8"/>
    <w:multiLevelType w:val="hybridMultilevel"/>
    <w:tmpl w:val="362C85E8"/>
    <w:lvl w:ilvl="0" w:tplc="7D78C68A">
      <w:start w:val="1"/>
      <w:numFmt w:val="bullet"/>
      <w:lvlText w:val=""/>
      <w:lvlJc w:val="left"/>
      <w:pPr>
        <w:ind w:left="342" w:hanging="200"/>
      </w:pPr>
      <w:rPr>
        <w:rFonts w:ascii="Symbol" w:eastAsia="Symbol" w:hAnsi="Symbol" w:hint="default"/>
        <w:color w:val="00AED6"/>
        <w:w w:val="100"/>
        <w:sz w:val="18"/>
        <w:szCs w:val="18"/>
      </w:rPr>
    </w:lvl>
    <w:lvl w:ilvl="1" w:tplc="3D4ACFA6">
      <w:start w:val="1"/>
      <w:numFmt w:val="bullet"/>
      <w:lvlText w:val="•"/>
      <w:lvlJc w:val="left"/>
      <w:pPr>
        <w:ind w:left="829" w:hanging="200"/>
      </w:pPr>
    </w:lvl>
    <w:lvl w:ilvl="2" w:tplc="A2287796">
      <w:start w:val="1"/>
      <w:numFmt w:val="bullet"/>
      <w:lvlText w:val="•"/>
      <w:lvlJc w:val="left"/>
      <w:pPr>
        <w:ind w:left="1318" w:hanging="200"/>
      </w:pPr>
    </w:lvl>
    <w:lvl w:ilvl="3" w:tplc="17544312">
      <w:start w:val="1"/>
      <w:numFmt w:val="bullet"/>
      <w:lvlText w:val="•"/>
      <w:lvlJc w:val="left"/>
      <w:pPr>
        <w:ind w:left="1808" w:hanging="200"/>
      </w:pPr>
    </w:lvl>
    <w:lvl w:ilvl="4" w:tplc="9F6A19D0">
      <w:start w:val="1"/>
      <w:numFmt w:val="bullet"/>
      <w:lvlText w:val="•"/>
      <w:lvlJc w:val="left"/>
      <w:pPr>
        <w:ind w:left="2297" w:hanging="200"/>
      </w:pPr>
    </w:lvl>
    <w:lvl w:ilvl="5" w:tplc="926EFE4C">
      <w:start w:val="1"/>
      <w:numFmt w:val="bullet"/>
      <w:lvlText w:val="•"/>
      <w:lvlJc w:val="left"/>
      <w:pPr>
        <w:ind w:left="2787" w:hanging="200"/>
      </w:pPr>
    </w:lvl>
    <w:lvl w:ilvl="6" w:tplc="6A9AF268">
      <w:start w:val="1"/>
      <w:numFmt w:val="bullet"/>
      <w:lvlText w:val="•"/>
      <w:lvlJc w:val="left"/>
      <w:pPr>
        <w:ind w:left="3276" w:hanging="200"/>
      </w:pPr>
    </w:lvl>
    <w:lvl w:ilvl="7" w:tplc="32FC5666">
      <w:start w:val="1"/>
      <w:numFmt w:val="bullet"/>
      <w:lvlText w:val="•"/>
      <w:lvlJc w:val="left"/>
      <w:pPr>
        <w:ind w:left="3765" w:hanging="200"/>
      </w:pPr>
    </w:lvl>
    <w:lvl w:ilvl="8" w:tplc="1BCE0404">
      <w:start w:val="1"/>
      <w:numFmt w:val="bullet"/>
      <w:lvlText w:val="•"/>
      <w:lvlJc w:val="left"/>
      <w:pPr>
        <w:ind w:left="4255" w:hanging="200"/>
      </w:pPr>
    </w:lvl>
  </w:abstractNum>
  <w:abstractNum w:abstractNumId="2">
    <w:nsid w:val="2FEE0A46"/>
    <w:multiLevelType w:val="hybridMultilevel"/>
    <w:tmpl w:val="374E1C26"/>
    <w:lvl w:ilvl="0" w:tplc="90CA34C2">
      <w:start w:val="1"/>
      <w:numFmt w:val="bullet"/>
      <w:lvlText w:val="ü"/>
      <w:lvlJc w:val="left"/>
      <w:pPr>
        <w:ind w:left="720" w:hanging="360"/>
      </w:pPr>
      <w:rPr>
        <w:rFonts w:ascii="Wingdings" w:hAnsi="Wingdings" w:hint="default"/>
        <w:b/>
        <w:i w:val="0"/>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270D81"/>
    <w:multiLevelType w:val="hybridMultilevel"/>
    <w:tmpl w:val="77988874"/>
    <w:lvl w:ilvl="0" w:tplc="E4623EC6">
      <w:start w:val="1"/>
      <w:numFmt w:val="bullet"/>
      <w:lvlText w:val="!"/>
      <w:lvlJc w:val="left"/>
      <w:pPr>
        <w:ind w:left="720" w:hanging="360"/>
      </w:pPr>
      <w:rPr>
        <w:rFonts w:ascii="Calibri" w:hAnsi="Calibri"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43499"/>
    <w:multiLevelType w:val="hybridMultilevel"/>
    <w:tmpl w:val="220A650A"/>
    <w:lvl w:ilvl="0" w:tplc="ABEE6F44">
      <w:start w:val="1"/>
      <w:numFmt w:val="bullet"/>
      <w:lvlText w:val="ü"/>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C82938"/>
    <w:multiLevelType w:val="hybridMultilevel"/>
    <w:tmpl w:val="0D86297A"/>
    <w:lvl w:ilvl="0" w:tplc="D9AC4034">
      <w:start w:val="1"/>
      <w:numFmt w:val="bullet"/>
      <w:lvlText w:val="û"/>
      <w:lvlJc w:val="left"/>
      <w:pPr>
        <w:ind w:left="720" w:hanging="360"/>
      </w:pPr>
      <w:rPr>
        <w:rFonts w:ascii="Wingdings" w:hAnsi="Wingding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040C7"/>
    <w:multiLevelType w:val="hybridMultilevel"/>
    <w:tmpl w:val="9756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F43A9"/>
    <w:multiLevelType w:val="hybridMultilevel"/>
    <w:tmpl w:val="CB8AF9D2"/>
    <w:lvl w:ilvl="0" w:tplc="ABEE6F44">
      <w:start w:val="1"/>
      <w:numFmt w:val="bullet"/>
      <w:lvlText w:val="ü"/>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D0"/>
    <w:rsid w:val="0000788F"/>
    <w:rsid w:val="0002113D"/>
    <w:rsid w:val="000304E9"/>
    <w:rsid w:val="00062625"/>
    <w:rsid w:val="000665F9"/>
    <w:rsid w:val="000719BB"/>
    <w:rsid w:val="00080D91"/>
    <w:rsid w:val="000A1F27"/>
    <w:rsid w:val="000A4838"/>
    <w:rsid w:val="000A68E0"/>
    <w:rsid w:val="000C4F31"/>
    <w:rsid w:val="000D2251"/>
    <w:rsid w:val="000F14A8"/>
    <w:rsid w:val="001145B3"/>
    <w:rsid w:val="00137008"/>
    <w:rsid w:val="0017317F"/>
    <w:rsid w:val="00187F21"/>
    <w:rsid w:val="00192592"/>
    <w:rsid w:val="001C4FFC"/>
    <w:rsid w:val="001E1101"/>
    <w:rsid w:val="001E699F"/>
    <w:rsid w:val="00203DB9"/>
    <w:rsid w:val="002239A4"/>
    <w:rsid w:val="00236BEF"/>
    <w:rsid w:val="00237ED4"/>
    <w:rsid w:val="00241069"/>
    <w:rsid w:val="0026286C"/>
    <w:rsid w:val="0028277D"/>
    <w:rsid w:val="00286A78"/>
    <w:rsid w:val="0029234B"/>
    <w:rsid w:val="00297DD8"/>
    <w:rsid w:val="002B09EB"/>
    <w:rsid w:val="002B1259"/>
    <w:rsid w:val="002B749B"/>
    <w:rsid w:val="002C32F8"/>
    <w:rsid w:val="002E70E5"/>
    <w:rsid w:val="002E7A19"/>
    <w:rsid w:val="002F048A"/>
    <w:rsid w:val="002F05C4"/>
    <w:rsid w:val="003058F3"/>
    <w:rsid w:val="00310AD9"/>
    <w:rsid w:val="00311D71"/>
    <w:rsid w:val="00327F95"/>
    <w:rsid w:val="003549D6"/>
    <w:rsid w:val="00373AC2"/>
    <w:rsid w:val="0039052A"/>
    <w:rsid w:val="003A4469"/>
    <w:rsid w:val="003B319F"/>
    <w:rsid w:val="003D5958"/>
    <w:rsid w:val="0042048B"/>
    <w:rsid w:val="00437435"/>
    <w:rsid w:val="00447249"/>
    <w:rsid w:val="004752C2"/>
    <w:rsid w:val="0047709A"/>
    <w:rsid w:val="00485086"/>
    <w:rsid w:val="00491AAE"/>
    <w:rsid w:val="004A0BA2"/>
    <w:rsid w:val="004B30FF"/>
    <w:rsid w:val="004C5587"/>
    <w:rsid w:val="004D051F"/>
    <w:rsid w:val="004D3C39"/>
    <w:rsid w:val="004E3119"/>
    <w:rsid w:val="004F2579"/>
    <w:rsid w:val="004F60AE"/>
    <w:rsid w:val="004F77D8"/>
    <w:rsid w:val="00503638"/>
    <w:rsid w:val="00505DA4"/>
    <w:rsid w:val="00535958"/>
    <w:rsid w:val="0056022F"/>
    <w:rsid w:val="0057253C"/>
    <w:rsid w:val="0058580F"/>
    <w:rsid w:val="005918D2"/>
    <w:rsid w:val="005A5F9F"/>
    <w:rsid w:val="005B137D"/>
    <w:rsid w:val="005B1487"/>
    <w:rsid w:val="005E11DD"/>
    <w:rsid w:val="005E1821"/>
    <w:rsid w:val="006010D9"/>
    <w:rsid w:val="00604D38"/>
    <w:rsid w:val="006110B1"/>
    <w:rsid w:val="006220E4"/>
    <w:rsid w:val="006228C6"/>
    <w:rsid w:val="00624D3F"/>
    <w:rsid w:val="006415BE"/>
    <w:rsid w:val="00641B70"/>
    <w:rsid w:val="006563B4"/>
    <w:rsid w:val="00662609"/>
    <w:rsid w:val="00673865"/>
    <w:rsid w:val="00677B33"/>
    <w:rsid w:val="006C49C7"/>
    <w:rsid w:val="006D09AB"/>
    <w:rsid w:val="006F159E"/>
    <w:rsid w:val="006F5A34"/>
    <w:rsid w:val="00706554"/>
    <w:rsid w:val="007202B3"/>
    <w:rsid w:val="007557BE"/>
    <w:rsid w:val="00767BDB"/>
    <w:rsid w:val="007806E7"/>
    <w:rsid w:val="00785BC9"/>
    <w:rsid w:val="007A15B0"/>
    <w:rsid w:val="007A1E70"/>
    <w:rsid w:val="007E0DCF"/>
    <w:rsid w:val="007E5A16"/>
    <w:rsid w:val="00806456"/>
    <w:rsid w:val="00811CB2"/>
    <w:rsid w:val="008151CE"/>
    <w:rsid w:val="0081729B"/>
    <w:rsid w:val="00820AC4"/>
    <w:rsid w:val="0082581F"/>
    <w:rsid w:val="00834091"/>
    <w:rsid w:val="008500B5"/>
    <w:rsid w:val="00854D30"/>
    <w:rsid w:val="00891A02"/>
    <w:rsid w:val="00893EAD"/>
    <w:rsid w:val="008E1706"/>
    <w:rsid w:val="008F3D43"/>
    <w:rsid w:val="00900424"/>
    <w:rsid w:val="0090407A"/>
    <w:rsid w:val="009203D2"/>
    <w:rsid w:val="00924402"/>
    <w:rsid w:val="009450E2"/>
    <w:rsid w:val="009565A8"/>
    <w:rsid w:val="0096475E"/>
    <w:rsid w:val="009748F7"/>
    <w:rsid w:val="00983C2C"/>
    <w:rsid w:val="00990580"/>
    <w:rsid w:val="009D0D73"/>
    <w:rsid w:val="009E1537"/>
    <w:rsid w:val="00A14D7B"/>
    <w:rsid w:val="00A16C62"/>
    <w:rsid w:val="00A178B5"/>
    <w:rsid w:val="00A20E51"/>
    <w:rsid w:val="00A20EFC"/>
    <w:rsid w:val="00A220D6"/>
    <w:rsid w:val="00A57669"/>
    <w:rsid w:val="00A753DD"/>
    <w:rsid w:val="00A81145"/>
    <w:rsid w:val="00A8796B"/>
    <w:rsid w:val="00AA6D5C"/>
    <w:rsid w:val="00AB06CA"/>
    <w:rsid w:val="00AB0801"/>
    <w:rsid w:val="00AC5F07"/>
    <w:rsid w:val="00AE7A67"/>
    <w:rsid w:val="00AF43B5"/>
    <w:rsid w:val="00B116A1"/>
    <w:rsid w:val="00B13D43"/>
    <w:rsid w:val="00B254C4"/>
    <w:rsid w:val="00B456FD"/>
    <w:rsid w:val="00B666D3"/>
    <w:rsid w:val="00B73E54"/>
    <w:rsid w:val="00B77211"/>
    <w:rsid w:val="00B8587A"/>
    <w:rsid w:val="00B9427A"/>
    <w:rsid w:val="00BC758B"/>
    <w:rsid w:val="00BD0CFF"/>
    <w:rsid w:val="00BE06F6"/>
    <w:rsid w:val="00BF7AC5"/>
    <w:rsid w:val="00C033A7"/>
    <w:rsid w:val="00C117F7"/>
    <w:rsid w:val="00C11ED2"/>
    <w:rsid w:val="00C30AE0"/>
    <w:rsid w:val="00C35EF5"/>
    <w:rsid w:val="00C56C09"/>
    <w:rsid w:val="00C75491"/>
    <w:rsid w:val="00C80F52"/>
    <w:rsid w:val="00CB22B4"/>
    <w:rsid w:val="00CB369F"/>
    <w:rsid w:val="00CD61C8"/>
    <w:rsid w:val="00D02CF1"/>
    <w:rsid w:val="00D06D32"/>
    <w:rsid w:val="00D170E6"/>
    <w:rsid w:val="00D21B44"/>
    <w:rsid w:val="00D303CF"/>
    <w:rsid w:val="00D36391"/>
    <w:rsid w:val="00D40219"/>
    <w:rsid w:val="00D62593"/>
    <w:rsid w:val="00D7288E"/>
    <w:rsid w:val="00D85577"/>
    <w:rsid w:val="00D926E8"/>
    <w:rsid w:val="00D93049"/>
    <w:rsid w:val="00DB0730"/>
    <w:rsid w:val="00DB7174"/>
    <w:rsid w:val="00DD0C86"/>
    <w:rsid w:val="00DD744A"/>
    <w:rsid w:val="00DF55A8"/>
    <w:rsid w:val="00E026FD"/>
    <w:rsid w:val="00E05DC4"/>
    <w:rsid w:val="00E146DF"/>
    <w:rsid w:val="00E25EBF"/>
    <w:rsid w:val="00E26435"/>
    <w:rsid w:val="00E43726"/>
    <w:rsid w:val="00E44EED"/>
    <w:rsid w:val="00E45AB9"/>
    <w:rsid w:val="00E57245"/>
    <w:rsid w:val="00E65B21"/>
    <w:rsid w:val="00E9728A"/>
    <w:rsid w:val="00EB15D0"/>
    <w:rsid w:val="00EB77AF"/>
    <w:rsid w:val="00F04E8F"/>
    <w:rsid w:val="00F16CD0"/>
    <w:rsid w:val="00F417A4"/>
    <w:rsid w:val="00F47804"/>
    <w:rsid w:val="00F51DED"/>
    <w:rsid w:val="00F56BAF"/>
    <w:rsid w:val="00F8354A"/>
    <w:rsid w:val="00FD6313"/>
    <w:rsid w:val="00FD64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CD0"/>
    <w:pPr>
      <w:ind w:left="720"/>
      <w:contextualSpacing/>
    </w:pPr>
  </w:style>
  <w:style w:type="character" w:styleId="PlaceholderText">
    <w:name w:val="Placeholder Text"/>
    <w:basedOn w:val="DefaultParagraphFont"/>
    <w:uiPriority w:val="99"/>
    <w:semiHidden/>
    <w:rsid w:val="00D06D32"/>
    <w:rPr>
      <w:color w:val="808080"/>
    </w:rPr>
  </w:style>
  <w:style w:type="character" w:styleId="CommentReference">
    <w:name w:val="annotation reference"/>
    <w:basedOn w:val="DefaultParagraphFont"/>
    <w:uiPriority w:val="99"/>
    <w:semiHidden/>
    <w:unhideWhenUsed/>
    <w:rsid w:val="00900424"/>
    <w:rPr>
      <w:sz w:val="16"/>
      <w:szCs w:val="16"/>
    </w:rPr>
  </w:style>
  <w:style w:type="paragraph" w:styleId="CommentText">
    <w:name w:val="annotation text"/>
    <w:basedOn w:val="Normal"/>
    <w:link w:val="CommentTextChar"/>
    <w:uiPriority w:val="99"/>
    <w:semiHidden/>
    <w:unhideWhenUsed/>
    <w:rsid w:val="00900424"/>
    <w:pPr>
      <w:spacing w:line="240" w:lineRule="auto"/>
    </w:pPr>
    <w:rPr>
      <w:sz w:val="20"/>
      <w:szCs w:val="20"/>
    </w:rPr>
  </w:style>
  <w:style w:type="character" w:customStyle="1" w:styleId="CommentTextChar">
    <w:name w:val="Comment Text Char"/>
    <w:basedOn w:val="DefaultParagraphFont"/>
    <w:link w:val="CommentText"/>
    <w:uiPriority w:val="99"/>
    <w:semiHidden/>
    <w:rsid w:val="00900424"/>
    <w:rPr>
      <w:sz w:val="20"/>
      <w:szCs w:val="20"/>
    </w:rPr>
  </w:style>
  <w:style w:type="paragraph" w:styleId="CommentSubject">
    <w:name w:val="annotation subject"/>
    <w:basedOn w:val="CommentText"/>
    <w:next w:val="CommentText"/>
    <w:link w:val="CommentSubjectChar"/>
    <w:uiPriority w:val="99"/>
    <w:semiHidden/>
    <w:unhideWhenUsed/>
    <w:rsid w:val="00900424"/>
    <w:rPr>
      <w:b/>
      <w:bCs/>
    </w:rPr>
  </w:style>
  <w:style w:type="character" w:customStyle="1" w:styleId="CommentSubjectChar">
    <w:name w:val="Comment Subject Char"/>
    <w:basedOn w:val="CommentTextChar"/>
    <w:link w:val="CommentSubject"/>
    <w:uiPriority w:val="99"/>
    <w:semiHidden/>
    <w:rsid w:val="00900424"/>
    <w:rPr>
      <w:b/>
      <w:bCs/>
      <w:sz w:val="20"/>
      <w:szCs w:val="20"/>
    </w:rPr>
  </w:style>
  <w:style w:type="paragraph" w:styleId="BalloonText">
    <w:name w:val="Balloon Text"/>
    <w:basedOn w:val="Normal"/>
    <w:link w:val="BalloonTextChar"/>
    <w:uiPriority w:val="99"/>
    <w:semiHidden/>
    <w:unhideWhenUsed/>
    <w:rsid w:val="00900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24"/>
    <w:rPr>
      <w:rFonts w:ascii="Segoe UI" w:hAnsi="Segoe UI" w:cs="Segoe UI"/>
      <w:sz w:val="18"/>
      <w:szCs w:val="18"/>
    </w:rPr>
  </w:style>
  <w:style w:type="paragraph" w:styleId="Revision">
    <w:name w:val="Revision"/>
    <w:hidden/>
    <w:uiPriority w:val="99"/>
    <w:semiHidden/>
    <w:rsid w:val="007202B3"/>
    <w:pPr>
      <w:spacing w:after="0" w:line="240" w:lineRule="auto"/>
    </w:pPr>
  </w:style>
  <w:style w:type="paragraph" w:customStyle="1" w:styleId="TableParagraph">
    <w:name w:val="Table Paragraph"/>
    <w:basedOn w:val="Normal"/>
    <w:uiPriority w:val="1"/>
    <w:qFormat/>
    <w:rsid w:val="004E3119"/>
    <w:pPr>
      <w:widowControl w:val="0"/>
      <w:spacing w:after="0" w:line="240" w:lineRule="auto"/>
    </w:pPr>
    <w:rPr>
      <w:lang w:val="en-US"/>
    </w:rPr>
  </w:style>
  <w:style w:type="paragraph" w:styleId="Header">
    <w:name w:val="header"/>
    <w:basedOn w:val="Normal"/>
    <w:link w:val="HeaderChar"/>
    <w:uiPriority w:val="99"/>
    <w:unhideWhenUsed/>
    <w:rsid w:val="0006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5F9"/>
  </w:style>
  <w:style w:type="paragraph" w:styleId="Footer">
    <w:name w:val="footer"/>
    <w:basedOn w:val="Normal"/>
    <w:link w:val="FooterChar"/>
    <w:uiPriority w:val="99"/>
    <w:unhideWhenUsed/>
    <w:rsid w:val="0006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CD0"/>
    <w:pPr>
      <w:ind w:left="720"/>
      <w:contextualSpacing/>
    </w:pPr>
  </w:style>
  <w:style w:type="character" w:styleId="PlaceholderText">
    <w:name w:val="Placeholder Text"/>
    <w:basedOn w:val="DefaultParagraphFont"/>
    <w:uiPriority w:val="99"/>
    <w:semiHidden/>
    <w:rsid w:val="00D06D32"/>
    <w:rPr>
      <w:color w:val="808080"/>
    </w:rPr>
  </w:style>
  <w:style w:type="character" w:styleId="CommentReference">
    <w:name w:val="annotation reference"/>
    <w:basedOn w:val="DefaultParagraphFont"/>
    <w:uiPriority w:val="99"/>
    <w:semiHidden/>
    <w:unhideWhenUsed/>
    <w:rsid w:val="00900424"/>
    <w:rPr>
      <w:sz w:val="16"/>
      <w:szCs w:val="16"/>
    </w:rPr>
  </w:style>
  <w:style w:type="paragraph" w:styleId="CommentText">
    <w:name w:val="annotation text"/>
    <w:basedOn w:val="Normal"/>
    <w:link w:val="CommentTextChar"/>
    <w:uiPriority w:val="99"/>
    <w:semiHidden/>
    <w:unhideWhenUsed/>
    <w:rsid w:val="00900424"/>
    <w:pPr>
      <w:spacing w:line="240" w:lineRule="auto"/>
    </w:pPr>
    <w:rPr>
      <w:sz w:val="20"/>
      <w:szCs w:val="20"/>
    </w:rPr>
  </w:style>
  <w:style w:type="character" w:customStyle="1" w:styleId="CommentTextChar">
    <w:name w:val="Comment Text Char"/>
    <w:basedOn w:val="DefaultParagraphFont"/>
    <w:link w:val="CommentText"/>
    <w:uiPriority w:val="99"/>
    <w:semiHidden/>
    <w:rsid w:val="00900424"/>
    <w:rPr>
      <w:sz w:val="20"/>
      <w:szCs w:val="20"/>
    </w:rPr>
  </w:style>
  <w:style w:type="paragraph" w:styleId="CommentSubject">
    <w:name w:val="annotation subject"/>
    <w:basedOn w:val="CommentText"/>
    <w:next w:val="CommentText"/>
    <w:link w:val="CommentSubjectChar"/>
    <w:uiPriority w:val="99"/>
    <w:semiHidden/>
    <w:unhideWhenUsed/>
    <w:rsid w:val="00900424"/>
    <w:rPr>
      <w:b/>
      <w:bCs/>
    </w:rPr>
  </w:style>
  <w:style w:type="character" w:customStyle="1" w:styleId="CommentSubjectChar">
    <w:name w:val="Comment Subject Char"/>
    <w:basedOn w:val="CommentTextChar"/>
    <w:link w:val="CommentSubject"/>
    <w:uiPriority w:val="99"/>
    <w:semiHidden/>
    <w:rsid w:val="00900424"/>
    <w:rPr>
      <w:b/>
      <w:bCs/>
      <w:sz w:val="20"/>
      <w:szCs w:val="20"/>
    </w:rPr>
  </w:style>
  <w:style w:type="paragraph" w:styleId="BalloonText">
    <w:name w:val="Balloon Text"/>
    <w:basedOn w:val="Normal"/>
    <w:link w:val="BalloonTextChar"/>
    <w:uiPriority w:val="99"/>
    <w:semiHidden/>
    <w:unhideWhenUsed/>
    <w:rsid w:val="00900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24"/>
    <w:rPr>
      <w:rFonts w:ascii="Segoe UI" w:hAnsi="Segoe UI" w:cs="Segoe UI"/>
      <w:sz w:val="18"/>
      <w:szCs w:val="18"/>
    </w:rPr>
  </w:style>
  <w:style w:type="paragraph" w:styleId="Revision">
    <w:name w:val="Revision"/>
    <w:hidden/>
    <w:uiPriority w:val="99"/>
    <w:semiHidden/>
    <w:rsid w:val="007202B3"/>
    <w:pPr>
      <w:spacing w:after="0" w:line="240" w:lineRule="auto"/>
    </w:pPr>
  </w:style>
  <w:style w:type="paragraph" w:customStyle="1" w:styleId="TableParagraph">
    <w:name w:val="Table Paragraph"/>
    <w:basedOn w:val="Normal"/>
    <w:uiPriority w:val="1"/>
    <w:qFormat/>
    <w:rsid w:val="004E3119"/>
    <w:pPr>
      <w:widowControl w:val="0"/>
      <w:spacing w:after="0" w:line="240" w:lineRule="auto"/>
    </w:pPr>
    <w:rPr>
      <w:lang w:val="en-US"/>
    </w:rPr>
  </w:style>
  <w:style w:type="paragraph" w:styleId="Header">
    <w:name w:val="header"/>
    <w:basedOn w:val="Normal"/>
    <w:link w:val="HeaderChar"/>
    <w:uiPriority w:val="99"/>
    <w:unhideWhenUsed/>
    <w:rsid w:val="0006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5F9"/>
  </w:style>
  <w:style w:type="paragraph" w:styleId="Footer">
    <w:name w:val="footer"/>
    <w:basedOn w:val="Normal"/>
    <w:link w:val="FooterChar"/>
    <w:uiPriority w:val="99"/>
    <w:unhideWhenUsed/>
    <w:rsid w:val="0006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654">
      <w:bodyDiv w:val="1"/>
      <w:marLeft w:val="0"/>
      <w:marRight w:val="0"/>
      <w:marTop w:val="0"/>
      <w:marBottom w:val="0"/>
      <w:divBdr>
        <w:top w:val="none" w:sz="0" w:space="0" w:color="auto"/>
        <w:left w:val="none" w:sz="0" w:space="0" w:color="auto"/>
        <w:bottom w:val="none" w:sz="0" w:space="0" w:color="auto"/>
        <w:right w:val="none" w:sz="0" w:space="0" w:color="auto"/>
      </w:divBdr>
    </w:div>
    <w:div w:id="12343026">
      <w:bodyDiv w:val="1"/>
      <w:marLeft w:val="0"/>
      <w:marRight w:val="0"/>
      <w:marTop w:val="0"/>
      <w:marBottom w:val="0"/>
      <w:divBdr>
        <w:top w:val="none" w:sz="0" w:space="0" w:color="auto"/>
        <w:left w:val="none" w:sz="0" w:space="0" w:color="auto"/>
        <w:bottom w:val="none" w:sz="0" w:space="0" w:color="auto"/>
        <w:right w:val="none" w:sz="0" w:space="0" w:color="auto"/>
      </w:divBdr>
    </w:div>
    <w:div w:id="455026986">
      <w:bodyDiv w:val="1"/>
      <w:marLeft w:val="0"/>
      <w:marRight w:val="0"/>
      <w:marTop w:val="0"/>
      <w:marBottom w:val="0"/>
      <w:divBdr>
        <w:top w:val="none" w:sz="0" w:space="0" w:color="auto"/>
        <w:left w:val="none" w:sz="0" w:space="0" w:color="auto"/>
        <w:bottom w:val="none" w:sz="0" w:space="0" w:color="auto"/>
        <w:right w:val="none" w:sz="0" w:space="0" w:color="auto"/>
      </w:divBdr>
    </w:div>
    <w:div w:id="630400037">
      <w:bodyDiv w:val="1"/>
      <w:marLeft w:val="0"/>
      <w:marRight w:val="0"/>
      <w:marTop w:val="0"/>
      <w:marBottom w:val="0"/>
      <w:divBdr>
        <w:top w:val="none" w:sz="0" w:space="0" w:color="auto"/>
        <w:left w:val="none" w:sz="0" w:space="0" w:color="auto"/>
        <w:bottom w:val="none" w:sz="0" w:space="0" w:color="auto"/>
        <w:right w:val="none" w:sz="0" w:space="0" w:color="auto"/>
      </w:divBdr>
    </w:div>
    <w:div w:id="673339148">
      <w:bodyDiv w:val="1"/>
      <w:marLeft w:val="0"/>
      <w:marRight w:val="0"/>
      <w:marTop w:val="0"/>
      <w:marBottom w:val="0"/>
      <w:divBdr>
        <w:top w:val="none" w:sz="0" w:space="0" w:color="auto"/>
        <w:left w:val="none" w:sz="0" w:space="0" w:color="auto"/>
        <w:bottom w:val="none" w:sz="0" w:space="0" w:color="auto"/>
        <w:right w:val="none" w:sz="0" w:space="0" w:color="auto"/>
      </w:divBdr>
    </w:div>
    <w:div w:id="11164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6.jpeg"/><Relationship Id="rId28" Type="http://schemas.microsoft.com/office/2011/relationships/commentsExtended" Target="commentsExtended.xml"/><Relationship Id="rId10" Type="http://schemas.microsoft.com/office/2007/relationships/hdphoto" Target="media/hdphoto1.wdp"/><Relationship Id="rId19" Type="http://schemas.openxmlformats.org/officeDocument/2006/relationships/fontTable" Target="fontTable.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8F9869E1B9C44BEE9AC69A83BFDF7" ma:contentTypeVersion="0" ma:contentTypeDescription="Create a new document." ma:contentTypeScope="" ma:versionID="b13d9a5b998238cbb96464fd7e0cf3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CF42D-32F2-458D-B05F-D696F1A72F6A}">
  <ds:schemaRefs>
    <ds:schemaRef ds:uri="http://schemas.openxmlformats.org/officeDocument/2006/bibliography"/>
  </ds:schemaRefs>
</ds:datastoreItem>
</file>

<file path=customXml/itemProps2.xml><?xml version="1.0" encoding="utf-8"?>
<ds:datastoreItem xmlns:ds="http://schemas.openxmlformats.org/officeDocument/2006/customXml" ds:itemID="{9067BD55-E8D7-4DC4-B82E-45B0232387D7}"/>
</file>

<file path=customXml/itemProps3.xml><?xml version="1.0" encoding="utf-8"?>
<ds:datastoreItem xmlns:ds="http://schemas.openxmlformats.org/officeDocument/2006/customXml" ds:itemID="{2DA345BC-006D-4951-91C9-C5996ACE0E4F}"/>
</file>

<file path=customXml/itemProps4.xml><?xml version="1.0" encoding="utf-8"?>
<ds:datastoreItem xmlns:ds="http://schemas.openxmlformats.org/officeDocument/2006/customXml" ds:itemID="{D6B173B9-5105-47CA-BA2F-3E903C9A3895}"/>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2019-03-26T16:19:00Z</dcterms:created>
  <dcterms:modified xsi:type="dcterms:W3CDTF">2019-03-26T16:19:00Z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0x010100B388F9869E1B9C44BEE9AC69A83BFDF7</vt:lpwstr>
  </property>
</Properties>
</file>